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52"/>
          <w:szCs w:val="52"/>
        </w:rPr>
      </w:pPr>
      <w:bookmarkStart w:id="0" w:name="_Toc7832_WPSOffice_Level1"/>
      <w:bookmarkStart w:id="1" w:name="_Toc11644_WPSOffice_Level1"/>
      <w:r>
        <w:rPr>
          <w:rFonts w:hint="eastAsia" w:ascii="宋体" w:hAnsi="宋体" w:eastAsia="宋体" w:cs="宋体"/>
          <w:b/>
          <w:bCs/>
          <w:sz w:val="52"/>
          <w:szCs w:val="52"/>
        </w:rPr>
        <w:t>采</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购</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合</w:t>
      </w:r>
      <w:r>
        <w:rPr>
          <w:rFonts w:hint="eastAsia" w:ascii="宋体" w:hAnsi="宋体" w:eastAsia="宋体" w:cs="宋体"/>
          <w:b/>
          <w:bCs/>
          <w:sz w:val="52"/>
          <w:szCs w:val="52"/>
          <w:lang w:val="en-US" w:eastAsia="zh-CN"/>
        </w:rPr>
        <w:t xml:space="preserve"> </w:t>
      </w:r>
      <w:r>
        <w:rPr>
          <w:rFonts w:hint="eastAsia" w:ascii="宋体" w:hAnsi="宋体" w:eastAsia="宋体" w:cs="宋体"/>
          <w:b/>
          <w:bCs/>
          <w:sz w:val="52"/>
          <w:szCs w:val="52"/>
        </w:rPr>
        <w:t>同</w:t>
      </w:r>
      <w:bookmarkEnd w:id="0"/>
      <w:bookmarkEnd w:id="1"/>
    </w:p>
    <w:p>
      <w:pPr>
        <w:adjustRightInd w:val="0"/>
        <w:snapToGrid w:val="0"/>
        <w:spacing w:line="360" w:lineRule="auto"/>
        <w:ind w:firstLine="640"/>
        <w:jc w:val="left"/>
        <w:rPr>
          <w:rFonts w:hint="eastAsia" w:ascii="宋体" w:hAnsi="宋体" w:eastAsia="宋体" w:cs="宋体"/>
          <w:sz w:val="24"/>
          <w:szCs w:val="24"/>
        </w:rPr>
      </w:pP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 xml:space="preserve">溪湖区疾病预防控制中心（溪湖区妇幼保健计划生育服务中心） </w:t>
      </w:r>
      <w:r>
        <w:rPr>
          <w:rFonts w:hint="eastAsia" w:ascii="宋体" w:hAnsi="宋体" w:eastAsia="宋体" w:cs="宋体"/>
          <w:sz w:val="24"/>
          <w:szCs w:val="24"/>
          <w:u w:val="single"/>
        </w:rPr>
        <w:t xml:space="preserve">(需方名称)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（以下简称需方）和</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辽宁亿信医疗器械科技有限公司</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(供方名称)  </w:t>
      </w:r>
      <w:r>
        <w:rPr>
          <w:rFonts w:hint="eastAsia" w:ascii="宋体" w:hAnsi="宋体" w:eastAsia="宋体" w:cs="宋体"/>
          <w:sz w:val="24"/>
          <w:szCs w:val="24"/>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2" w:name="_Toc13230_WPSOffice_Level2"/>
      <w:r>
        <w:rPr>
          <w:rFonts w:hint="eastAsia" w:ascii="宋体" w:hAnsi="宋体" w:eastAsia="宋体" w:cs="宋体"/>
          <w:b/>
          <w:sz w:val="24"/>
          <w:szCs w:val="24"/>
        </w:rPr>
        <w:t>一、</w:t>
      </w:r>
      <w:bookmarkEnd w:id="2"/>
      <w:bookmarkStart w:id="3" w:name="_Toc27886_WPSOffice_Level2"/>
      <w:r>
        <w:rPr>
          <w:rFonts w:hint="eastAsia" w:ascii="宋体" w:hAnsi="宋体" w:eastAsia="宋体" w:cs="宋体"/>
          <w:b/>
          <w:sz w:val="24"/>
          <w:szCs w:val="24"/>
        </w:rPr>
        <w:t>政府采购合同金额</w:t>
      </w:r>
      <w:bookmarkEnd w:id="3"/>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根据上述政府采购合同文件要求，政府采购合同的总金额为人民币</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陆万</w:t>
      </w:r>
      <w:bookmarkStart w:id="10" w:name="_GoBack"/>
      <w:bookmarkEnd w:id="10"/>
      <w:r>
        <w:rPr>
          <w:rFonts w:hint="eastAsia" w:ascii="宋体" w:hAnsi="宋体" w:eastAsia="宋体" w:cs="宋体"/>
          <w:sz w:val="24"/>
          <w:szCs w:val="24"/>
          <w:u w:val="single"/>
          <w:lang w:val="en-US" w:eastAsia="zh-CN"/>
        </w:rPr>
        <w:t>陆仟圆整</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（大写）</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w:t>
      </w:r>
    </w:p>
    <w:p>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注：存在分项产品的必须清晰列明分项产品明细，包括名称、数量、分项报价等，并作为合同组成部分。</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4" w:name="_Toc22211_WPSOffice_Level2"/>
      <w:r>
        <w:rPr>
          <w:rFonts w:hint="eastAsia" w:ascii="宋体" w:hAnsi="宋体" w:eastAsia="宋体" w:cs="宋体"/>
          <w:b/>
          <w:sz w:val="24"/>
          <w:szCs w:val="24"/>
          <w:lang w:val="en-US" w:eastAsia="zh-CN"/>
        </w:rPr>
        <w:t>二</w:t>
      </w:r>
      <w:r>
        <w:rPr>
          <w:rFonts w:hint="eastAsia" w:ascii="宋体" w:hAnsi="宋体" w:eastAsia="宋体" w:cs="宋体"/>
          <w:b/>
          <w:sz w:val="24"/>
          <w:szCs w:val="24"/>
        </w:rPr>
        <w:t>、付款方式及条件</w:t>
      </w:r>
      <w:bookmarkEnd w:id="4"/>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货到验收合格后</w:t>
      </w:r>
      <w:r>
        <w:rPr>
          <w:rFonts w:hint="eastAsia" w:ascii="宋体" w:hAnsi="宋体" w:eastAsia="宋体" w:cs="宋体"/>
          <w:sz w:val="24"/>
          <w:szCs w:val="24"/>
          <w:lang w:val="en-US" w:eastAsia="zh-CN"/>
        </w:rPr>
        <w:t>一次性支付合同金额的10</w:t>
      </w:r>
      <w:r>
        <w:rPr>
          <w:rFonts w:hint="eastAsia" w:ascii="宋体" w:hAnsi="宋体" w:eastAsia="宋体" w:cs="宋体"/>
          <w:sz w:val="24"/>
          <w:szCs w:val="24"/>
        </w:rPr>
        <w:t>0</w:t>
      </w:r>
      <w:r>
        <w:rPr>
          <w:rFonts w:hint="cs" w:ascii="宋体" w:hAnsi="宋体" w:eastAsia="宋体" w:cs="宋体"/>
          <w:sz w:val="24"/>
          <w:szCs w:val="24"/>
          <w:cs/>
        </w:rPr>
        <w:t>%</w:t>
      </w:r>
      <w:r>
        <w:rPr>
          <w:rFonts w:hint="eastAsia" w:ascii="宋体" w:hAnsi="宋体" w:eastAsia="宋体" w:cs="宋体"/>
          <w:sz w:val="24"/>
          <w:szCs w:val="24"/>
        </w:rPr>
        <w:t>。</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b/>
          <w:sz w:val="24"/>
          <w:szCs w:val="24"/>
        </w:rPr>
        <w:t>　　</w:t>
      </w:r>
      <w:bookmarkStart w:id="5" w:name="_Toc27813_WPSOffice_Level2"/>
      <w:r>
        <w:rPr>
          <w:rFonts w:hint="eastAsia" w:ascii="宋体" w:hAnsi="宋体" w:eastAsia="宋体" w:cs="宋体"/>
          <w:b/>
          <w:sz w:val="24"/>
          <w:szCs w:val="24"/>
          <w:lang w:val="en-US" w:eastAsia="zh-CN"/>
        </w:rPr>
        <w:t>三</w:t>
      </w:r>
      <w:r>
        <w:rPr>
          <w:rFonts w:hint="eastAsia" w:ascii="宋体" w:hAnsi="宋体" w:eastAsia="宋体" w:cs="宋体"/>
          <w:b/>
          <w:sz w:val="24"/>
          <w:szCs w:val="24"/>
        </w:rPr>
        <w:t>、交货时间和交货地点</w:t>
      </w:r>
      <w:bookmarkEnd w:id="5"/>
    </w:p>
    <w:p>
      <w:pPr>
        <w:adjustRightInd w:val="0"/>
        <w:snapToGrid w:val="0"/>
        <w:spacing w:line="360" w:lineRule="auto"/>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 xml:space="preserve">    1.交货时间：</w:t>
      </w:r>
      <w:r>
        <w:rPr>
          <w:rFonts w:hint="eastAsia" w:ascii="宋体" w:hAnsi="宋体" w:eastAsia="宋体" w:cs="宋体"/>
          <w:sz w:val="24"/>
          <w:szCs w:val="24"/>
          <w:lang w:val="en-US" w:eastAsia="zh-CN"/>
        </w:rPr>
        <w:t>合同签订后3-5日</w:t>
      </w:r>
    </w:p>
    <w:p>
      <w:pPr>
        <w:adjustRightInd w:val="0"/>
        <w:snapToGrid w:val="0"/>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 xml:space="preserve">    2.交货地点：</w:t>
      </w:r>
      <w:r>
        <w:rPr>
          <w:rFonts w:hint="eastAsia" w:ascii="宋体" w:hAnsi="宋体" w:eastAsia="宋体" w:cs="宋体"/>
          <w:sz w:val="24"/>
          <w:szCs w:val="24"/>
          <w:u w:val="none"/>
          <w:lang w:eastAsia="zh-CN"/>
        </w:rPr>
        <w:t xml:space="preserve">溪湖区疾病预防控制中心（溪湖区妇幼保健计划生育服务中心） </w:t>
      </w:r>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b/>
          <w:sz w:val="24"/>
          <w:szCs w:val="24"/>
        </w:rPr>
        <w:t>　　</w:t>
      </w:r>
      <w:bookmarkStart w:id="6" w:name="_Toc12497_WPSOffice_Level2"/>
      <w:r>
        <w:rPr>
          <w:rFonts w:hint="eastAsia" w:ascii="宋体" w:hAnsi="宋体" w:eastAsia="宋体" w:cs="宋体"/>
          <w:b/>
          <w:sz w:val="24"/>
          <w:szCs w:val="24"/>
          <w:lang w:val="en-US" w:eastAsia="zh-CN"/>
        </w:rPr>
        <w:t>四</w:t>
      </w:r>
      <w:r>
        <w:rPr>
          <w:rFonts w:hint="eastAsia" w:ascii="宋体" w:hAnsi="宋体" w:eastAsia="宋体" w:cs="宋体"/>
          <w:b/>
          <w:sz w:val="24"/>
          <w:szCs w:val="24"/>
        </w:rPr>
        <w:t>、验收要求</w:t>
      </w:r>
      <w:bookmarkEnd w:id="6"/>
    </w:p>
    <w:p>
      <w:pPr>
        <w:adjustRightInd w:val="0"/>
        <w:snapToGrid w:val="0"/>
        <w:spacing w:line="360" w:lineRule="auto"/>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供方完全履行合同义务后，需方或需方的最终用户按照上述政府采购合同文件列明的标准进行验收，验收不合格的，供方需按照约定承担相应违约责任。</w:t>
      </w:r>
    </w:p>
    <w:p>
      <w:pPr>
        <w:adjustRightInd w:val="0"/>
        <w:snapToGrid w:val="0"/>
        <w:spacing w:line="360" w:lineRule="auto"/>
        <w:ind w:firstLine="480" w:firstLineChars="200"/>
        <w:jc w:val="left"/>
        <w:rPr>
          <w:rFonts w:hint="eastAsia" w:ascii="宋体" w:hAnsi="宋体" w:eastAsia="宋体" w:cs="宋体"/>
          <w:b/>
          <w:sz w:val="24"/>
          <w:szCs w:val="24"/>
        </w:rPr>
      </w:pPr>
      <w:bookmarkStart w:id="7" w:name="_Toc4868_WPSOffice_Level2"/>
      <w:r>
        <w:rPr>
          <w:rFonts w:hint="eastAsia" w:ascii="宋体" w:hAnsi="宋体" w:eastAsia="宋体" w:cs="宋体"/>
          <w:b/>
          <w:sz w:val="24"/>
          <w:szCs w:val="24"/>
          <w:lang w:val="en-US" w:eastAsia="zh-CN"/>
        </w:rPr>
        <w:t>五</w:t>
      </w:r>
      <w:r>
        <w:rPr>
          <w:rFonts w:hint="eastAsia" w:ascii="宋体" w:hAnsi="宋体" w:eastAsia="宋体" w:cs="宋体"/>
          <w:b/>
          <w:sz w:val="24"/>
          <w:szCs w:val="24"/>
        </w:rPr>
        <w:t>、违约责任</w:t>
      </w:r>
      <w:bookmarkEnd w:id="7"/>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 w:val="24"/>
          <w:szCs w:val="24"/>
        </w:rPr>
      </w:pPr>
      <w:r>
        <w:rPr>
          <w:rFonts w:hint="eastAsia" w:ascii="宋体" w:hAnsi="宋体" w:eastAsia="宋体" w:cs="宋体"/>
          <w:sz w:val="24"/>
          <w:szCs w:val="24"/>
        </w:rPr>
        <w:t xml:space="preserve">    3.需方逾期付款的，每逾期一天向供方支付逾期金额%的违约金，逾期日的，供方有权单方面解除本协议。</w:t>
      </w:r>
    </w:p>
    <w:p>
      <w:pPr>
        <w:adjustRightInd w:val="0"/>
        <w:snapToGrid w:val="0"/>
        <w:spacing w:line="360" w:lineRule="auto"/>
        <w:ind w:firstLine="480" w:firstLineChars="200"/>
        <w:jc w:val="left"/>
        <w:rPr>
          <w:rFonts w:hint="eastAsia" w:ascii="宋体" w:hAnsi="宋体" w:eastAsia="宋体" w:cs="宋体"/>
          <w:b/>
          <w:sz w:val="24"/>
          <w:szCs w:val="24"/>
        </w:rPr>
      </w:pPr>
      <w:bookmarkStart w:id="8" w:name="_Toc24496_WPSOffice_Level2"/>
      <w:r>
        <w:rPr>
          <w:rFonts w:hint="eastAsia" w:ascii="宋体" w:hAnsi="宋体" w:eastAsia="宋体" w:cs="宋体"/>
          <w:b/>
          <w:sz w:val="24"/>
          <w:szCs w:val="24"/>
          <w:lang w:val="en-US" w:eastAsia="zh-CN"/>
        </w:rPr>
        <w:t>六</w:t>
      </w:r>
      <w:r>
        <w:rPr>
          <w:rFonts w:hint="eastAsia" w:ascii="宋体" w:hAnsi="宋体" w:eastAsia="宋体" w:cs="宋体"/>
          <w:b/>
          <w:sz w:val="24"/>
          <w:szCs w:val="24"/>
        </w:rPr>
        <w:t>、争议解决</w:t>
      </w:r>
      <w:bookmarkEnd w:id="8"/>
    </w:p>
    <w:p>
      <w:pPr>
        <w:adjustRightInd w:val="0"/>
        <w:snapToGrid w:val="0"/>
        <w:spacing w:line="360" w:lineRule="auto"/>
        <w:jc w:val="left"/>
        <w:rPr>
          <w:rFonts w:hint="eastAsia" w:ascii="宋体" w:hAnsi="宋体" w:eastAsia="宋体" w:cs="宋体"/>
          <w:b/>
          <w:sz w:val="24"/>
          <w:szCs w:val="24"/>
        </w:rPr>
      </w:pPr>
      <w:r>
        <w:rPr>
          <w:rFonts w:hint="eastAsia" w:ascii="宋体" w:hAnsi="宋体" w:eastAsia="宋体" w:cs="宋体"/>
          <w:sz w:val="24"/>
          <w:szCs w:val="24"/>
        </w:rPr>
        <w:t xml:space="preserve">    双方因履行本协议而产生的争议，应友好协商解决，协商不成的，任何一方可向需方所在地的人民法院提起诉讼。</w:t>
      </w:r>
    </w:p>
    <w:p>
      <w:pPr>
        <w:adjustRightInd w:val="0"/>
        <w:snapToGrid w:val="0"/>
        <w:spacing w:line="360" w:lineRule="auto"/>
        <w:ind w:firstLine="480" w:firstLineChars="200"/>
        <w:jc w:val="left"/>
        <w:rPr>
          <w:rFonts w:hint="eastAsia" w:ascii="宋体" w:hAnsi="宋体" w:eastAsia="宋体" w:cs="宋体"/>
          <w:b/>
          <w:sz w:val="24"/>
          <w:szCs w:val="24"/>
        </w:rPr>
      </w:pPr>
      <w:bookmarkStart w:id="9" w:name="_Toc24974_WPSOffice_Level2"/>
      <w:r>
        <w:rPr>
          <w:rFonts w:hint="eastAsia" w:ascii="宋体" w:hAnsi="宋体" w:eastAsia="宋体" w:cs="宋体"/>
          <w:b/>
          <w:sz w:val="24"/>
          <w:szCs w:val="24"/>
          <w:lang w:val="en-US" w:eastAsia="zh-CN"/>
        </w:rPr>
        <w:t>七</w:t>
      </w:r>
      <w:r>
        <w:rPr>
          <w:rFonts w:hint="eastAsia" w:ascii="宋体" w:hAnsi="宋体" w:eastAsia="宋体" w:cs="宋体"/>
          <w:b/>
          <w:sz w:val="24"/>
          <w:szCs w:val="24"/>
        </w:rPr>
        <w:t>、合同生效</w:t>
      </w:r>
      <w:bookmarkEnd w:id="9"/>
    </w:p>
    <w:p>
      <w:pPr>
        <w:adjustRightInd w:val="0"/>
        <w:snapToGrid w:val="0"/>
        <w:spacing w:line="600" w:lineRule="auto"/>
        <w:jc w:val="left"/>
        <w:rPr>
          <w:rFonts w:hint="eastAsia" w:ascii="宋体" w:hAnsi="宋体" w:eastAsia="宋体" w:cs="宋体"/>
          <w:sz w:val="24"/>
          <w:szCs w:val="24"/>
        </w:rPr>
      </w:pPr>
      <w:r>
        <w:rPr>
          <w:rFonts w:hint="eastAsia" w:ascii="宋体" w:hAnsi="宋体" w:eastAsia="宋体" w:cs="宋体"/>
          <w:sz w:val="24"/>
          <w:szCs w:val="24"/>
        </w:rPr>
        <w:t xml:space="preserve">    本政府采购合同一式</w:t>
      </w:r>
      <w:r>
        <w:rPr>
          <w:rFonts w:hint="eastAsia" w:ascii="宋体" w:hAnsi="宋体" w:eastAsia="宋体" w:cs="宋体"/>
          <w:sz w:val="24"/>
          <w:szCs w:val="24"/>
          <w:lang w:val="en-US" w:eastAsia="zh-CN"/>
        </w:rPr>
        <w:t>四</w:t>
      </w:r>
      <w:r>
        <w:rPr>
          <w:rFonts w:hint="eastAsia" w:ascii="宋体" w:hAnsi="宋体" w:eastAsia="宋体" w:cs="宋体"/>
          <w:sz w:val="24"/>
          <w:szCs w:val="24"/>
        </w:rPr>
        <w:t>份，甲方</w:t>
      </w:r>
      <w:r>
        <w:rPr>
          <w:rFonts w:hint="eastAsia" w:ascii="宋体" w:hAnsi="宋体" w:eastAsia="宋体" w:cs="宋体"/>
          <w:sz w:val="24"/>
          <w:szCs w:val="24"/>
          <w:lang w:val="en-US" w:eastAsia="zh-CN"/>
        </w:rPr>
        <w:t>二</w:t>
      </w:r>
      <w:r>
        <w:rPr>
          <w:rFonts w:hint="eastAsia" w:ascii="宋体" w:hAnsi="宋体" w:eastAsia="宋体" w:cs="宋体"/>
          <w:sz w:val="24"/>
          <w:szCs w:val="24"/>
        </w:rPr>
        <w:t>份，乙方</w:t>
      </w:r>
      <w:r>
        <w:rPr>
          <w:rFonts w:hint="eastAsia" w:ascii="宋体" w:hAnsi="宋体" w:eastAsia="宋体" w:cs="宋体"/>
          <w:sz w:val="24"/>
          <w:szCs w:val="24"/>
          <w:lang w:val="en-US" w:eastAsia="zh-CN"/>
        </w:rPr>
        <w:t>二</w:t>
      </w:r>
      <w:r>
        <w:rPr>
          <w:rFonts w:hint="eastAsia" w:ascii="宋体" w:hAnsi="宋体" w:eastAsia="宋体" w:cs="宋体"/>
          <w:sz w:val="24"/>
          <w:szCs w:val="24"/>
        </w:rPr>
        <w:t>份，经双方授权代表签字盖章后生效。</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需方（公章）:                      供方(公章):</w:t>
      </w:r>
    </w:p>
    <w:p>
      <w:pPr>
        <w:adjustRightInd w:val="0"/>
        <w:snapToGrid w:val="0"/>
        <w:spacing w:line="60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法定代表人或授权代表人(签字):      法定代表人或授权代表人(签字):</w:t>
      </w:r>
    </w:p>
    <w:p>
      <w:pPr>
        <w:adjustRightInd w:val="0"/>
        <w:snapToGrid w:val="0"/>
        <w:spacing w:line="600" w:lineRule="auto"/>
        <w:ind w:firstLine="480" w:firstLineChars="200"/>
        <w:rPr>
          <w:rFonts w:hint="eastAsia" w:asciiTheme="minorEastAsia" w:hAnsiTheme="minorEastAsia" w:eastAsiaTheme="minorEastAsia" w:cstheme="minorEastAsia"/>
          <w:sz w:val="24"/>
          <w:szCs w:val="24"/>
          <w:u w:val="single"/>
          <w:lang w:val="en-US"/>
        </w:r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30</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2022</w:t>
      </w:r>
      <w:r>
        <w:rPr>
          <w:rFonts w:hint="eastAsia" w:ascii="宋体" w:hAnsi="宋体" w:eastAsia="宋体" w:cs="宋体"/>
          <w:sz w:val="24"/>
          <w:szCs w:val="24"/>
          <w:u w:val="single"/>
        </w:rPr>
        <w:t xml:space="preserve"> 年 </w:t>
      </w:r>
      <w:r>
        <w:rPr>
          <w:rFonts w:hint="eastAsia" w:ascii="宋体" w:hAnsi="宋体" w:eastAsia="宋体" w:cs="宋体"/>
          <w:sz w:val="24"/>
          <w:szCs w:val="24"/>
          <w:u w:val="single"/>
          <w:lang w:val="en-US" w:eastAsia="zh-CN"/>
        </w:rPr>
        <w:t>8</w:t>
      </w:r>
      <w:r>
        <w:rPr>
          <w:rFonts w:hint="eastAsia" w:ascii="宋体" w:hAnsi="宋体" w:eastAsia="宋体" w:cs="宋体"/>
          <w:sz w:val="24"/>
          <w:szCs w:val="24"/>
          <w:u w:val="single"/>
        </w:rPr>
        <w:t xml:space="preserve"> 月 </w:t>
      </w:r>
      <w:r>
        <w:rPr>
          <w:rFonts w:hint="eastAsia" w:ascii="宋体" w:hAnsi="宋体" w:eastAsia="宋体" w:cs="宋体"/>
          <w:sz w:val="24"/>
          <w:szCs w:val="24"/>
          <w:u w:val="single"/>
          <w:lang w:val="en-US" w:eastAsia="zh-CN"/>
        </w:rPr>
        <w:t>30</w:t>
      </w:r>
      <w:r>
        <w:rPr>
          <w:rFonts w:hint="eastAsia" w:ascii="宋体" w:hAnsi="宋体" w:eastAsia="宋体" w:cs="宋体"/>
          <w:sz w:val="24"/>
          <w:szCs w:val="24"/>
          <w:u w:val="single"/>
        </w:rPr>
        <w:t xml:space="preserve">  日</w:t>
      </w:r>
      <w:r>
        <w:rPr>
          <w:rFonts w:hint="eastAsia" w:ascii="宋体" w:hAnsi="宋体" w:eastAsia="宋体" w:cs="宋体"/>
          <w:sz w:val="24"/>
          <w:szCs w:val="24"/>
          <w:u w:val="single"/>
          <w:lang w:val="en-US" w:eastAsia="zh-CN"/>
        </w:rPr>
        <w:t xml:space="preserve"> </w:t>
      </w:r>
    </w:p>
    <w:tbl>
      <w:tblPr>
        <w:tblStyle w:val="9"/>
        <w:tblpPr w:leftFromText="180" w:rightFromText="180" w:vertAnchor="text" w:horzAnchor="page" w:tblpXSpec="center" w:tblpY="88"/>
        <w:tblOverlap w:val="never"/>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121"/>
        <w:gridCol w:w="767"/>
        <w:gridCol w:w="1133"/>
        <w:gridCol w:w="850"/>
        <w:gridCol w:w="1417"/>
        <w:gridCol w:w="783"/>
        <w:gridCol w:w="1067"/>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1121"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w:t>
            </w:r>
          </w:p>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w:t>
            </w: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制造商名称</w:t>
            </w:r>
          </w:p>
        </w:tc>
        <w:tc>
          <w:tcPr>
            <w:tcW w:w="78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w:t>
            </w:r>
          </w:p>
        </w:tc>
        <w:tc>
          <w:tcPr>
            <w:tcW w:w="10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总价</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病毒采样管</w:t>
            </w:r>
          </w:p>
        </w:tc>
        <w:tc>
          <w:tcPr>
            <w:tcW w:w="7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奥赛特</w:t>
            </w:r>
          </w:p>
        </w:tc>
        <w:tc>
          <w:tcPr>
            <w:tcW w:w="113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1:10</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山东奥赛特医疗器械有限公司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2</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60000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557"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w:t>
            </w:r>
          </w:p>
        </w:tc>
        <w:tc>
          <w:tcPr>
            <w:tcW w:w="1121"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i w:val="0"/>
                <w:iCs w:val="0"/>
                <w:color w:val="000000"/>
                <w:kern w:val="0"/>
                <w:sz w:val="24"/>
                <w:szCs w:val="24"/>
                <w:u w:val="none"/>
                <w:lang w:val="en-US" w:eastAsia="zh-CN" w:bidi="ar"/>
              </w:rPr>
              <w:t>垃圾袋</w:t>
            </w:r>
          </w:p>
        </w:tc>
        <w:tc>
          <w:tcPr>
            <w:tcW w:w="767"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康卫士</w:t>
            </w:r>
          </w:p>
        </w:tc>
        <w:tc>
          <w:tcPr>
            <w:tcW w:w="1133" w:type="dxa"/>
            <w:noWrap w:val="0"/>
            <w:vAlign w:val="center"/>
          </w:tcPr>
          <w:p>
            <w:pPr>
              <w:jc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70*80</w:t>
            </w:r>
          </w:p>
        </w:tc>
        <w:tc>
          <w:tcPr>
            <w:tcW w:w="850"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1417" w:type="dxa"/>
            <w:noWrap w:val="0"/>
            <w:vAlign w:val="center"/>
          </w:tcPr>
          <w:p>
            <w:pPr>
              <w:keepNext w:val="0"/>
              <w:keepLines w:val="0"/>
              <w:widowControl/>
              <w:suppressLineNumbers w:val="0"/>
              <w:jc w:val="center"/>
              <w:textAlignment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江西康卫士医用包装容器有限公司</w:t>
            </w:r>
          </w:p>
        </w:tc>
        <w:tc>
          <w:tcPr>
            <w:tcW w:w="783"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0.6</w:t>
            </w:r>
          </w:p>
        </w:tc>
        <w:tc>
          <w:tcPr>
            <w:tcW w:w="1067" w:type="dxa"/>
            <w:noWrap w:val="0"/>
            <w:vAlign w:val="center"/>
          </w:tcPr>
          <w:p>
            <w:pPr>
              <w:keepNext w:val="0"/>
              <w:keepLines w:val="0"/>
              <w:widowControl/>
              <w:suppressLineNumbers w:val="0"/>
              <w:jc w:val="center"/>
              <w:textAlignment w:val="center"/>
              <w:rPr>
                <w:rFonts w:hint="default" w:ascii="宋体" w:hAnsi="宋体" w:eastAsia="宋体" w:cs="宋体"/>
                <w:color w:val="auto"/>
                <w:kern w:val="2"/>
                <w:sz w:val="24"/>
                <w:szCs w:val="24"/>
                <w:highlight w:val="none"/>
                <w:lang w:val="en-US" w:eastAsia="zh-CN" w:bidi="ar-SA"/>
              </w:rPr>
            </w:pPr>
            <w:r>
              <w:rPr>
                <w:rFonts w:hint="eastAsia" w:ascii="宋体" w:hAnsi="宋体" w:eastAsia="宋体" w:cs="宋体"/>
                <w:i w:val="0"/>
                <w:iCs w:val="0"/>
                <w:color w:val="000000"/>
                <w:kern w:val="0"/>
                <w:sz w:val="24"/>
                <w:szCs w:val="24"/>
                <w:u w:val="none"/>
                <w:lang w:val="en-US" w:eastAsia="zh-CN" w:bidi="ar"/>
              </w:rPr>
              <w:t>6000</w:t>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1678" w:type="dxa"/>
            <w:gridSpan w:val="2"/>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总价</w:t>
            </w:r>
          </w:p>
        </w:tc>
        <w:tc>
          <w:tcPr>
            <w:tcW w:w="76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1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850"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1417"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p>
        </w:tc>
        <w:tc>
          <w:tcPr>
            <w:tcW w:w="783" w:type="dxa"/>
            <w:noWrap w:val="0"/>
            <w:vAlign w:val="center"/>
          </w:tcPr>
          <w:p>
            <w:pPr>
              <w:adjustRightInd w:val="0"/>
              <w:snapToGrid w:val="0"/>
              <w:ind w:left="-96" w:leftChars="-46" w:right="-63" w:rightChars="-30"/>
              <w:jc w:val="center"/>
              <w:rPr>
                <w:rFonts w:hint="default" w:ascii="宋体" w:hAnsi="宋体" w:eastAsia="宋体" w:cs="宋体"/>
                <w:color w:val="auto"/>
                <w:sz w:val="24"/>
                <w:szCs w:val="24"/>
                <w:highlight w:val="none"/>
                <w:lang w:val="en-US" w:eastAsia="zh-CN"/>
              </w:rPr>
            </w:pPr>
          </w:p>
        </w:tc>
        <w:tc>
          <w:tcPr>
            <w:tcW w:w="1067" w:type="dxa"/>
            <w:noWrap w:val="0"/>
            <w:vAlign w:val="center"/>
          </w:tcPr>
          <w:p>
            <w:pPr>
              <w:adjustRightInd w:val="0"/>
              <w:snapToGrid w:val="0"/>
              <w:ind w:left="-96" w:leftChars="-46" w:right="-63" w:rightChars="-30"/>
              <w:jc w:val="center"/>
              <w:rPr>
                <w:rFonts w:hint="default"/>
                <w:lang w:val="en-US" w:eastAsia="zh-CN"/>
              </w:rPr>
            </w:pPr>
          </w:p>
          <w:p>
            <w:pPr>
              <w:pStyle w:val="2"/>
              <w:jc w:val="center"/>
              <w:rPr>
                <w:rFonts w:hint="default"/>
                <w:lang w:val="en-US" w:eastAsia="zh-CN"/>
              </w:rPr>
            </w:pPr>
            <w:r>
              <w:rPr>
                <w:rFonts w:hint="eastAsia" w:ascii="宋体" w:hAnsi="宋体" w:eastAsia="宋体" w:cs="宋体"/>
                <w:i w:val="0"/>
                <w:iCs w:val="0"/>
                <w:color w:val="000000"/>
                <w:kern w:val="0"/>
                <w:sz w:val="24"/>
                <w:szCs w:val="24"/>
                <w:u w:val="none"/>
                <w:lang w:val="en-US" w:eastAsia="zh-CN" w:bidi="ar"/>
              </w:rPr>
              <w:fldChar w:fldCharType="begin"/>
            </w:r>
            <w:r>
              <w:rPr>
                <w:rFonts w:hint="eastAsia" w:ascii="宋体" w:hAnsi="宋体" w:eastAsia="宋体" w:cs="宋体"/>
                <w:i w:val="0"/>
                <w:iCs w:val="0"/>
                <w:color w:val="000000"/>
                <w:kern w:val="0"/>
                <w:sz w:val="24"/>
                <w:szCs w:val="24"/>
                <w:u w:val="none"/>
                <w:lang w:val="en-US" w:eastAsia="zh-CN" w:bidi="ar"/>
              </w:rPr>
              <w:instrText xml:space="preserve"> = sum(H2:H3) \* MERGEFORMAT </w:instrText>
            </w:r>
            <w:r>
              <w:rPr>
                <w:rFonts w:hint="eastAsia" w:ascii="宋体" w:hAnsi="宋体" w:eastAsia="宋体" w:cs="宋体"/>
                <w:i w:val="0"/>
                <w:iCs w:val="0"/>
                <w:color w:val="000000"/>
                <w:kern w:val="0"/>
                <w:sz w:val="24"/>
                <w:szCs w:val="24"/>
                <w:u w:val="none"/>
                <w:lang w:val="en-US" w:eastAsia="zh-CN" w:bidi="ar"/>
              </w:rPr>
              <w:fldChar w:fldCharType="separate"/>
            </w:r>
            <w:r>
              <w:rPr>
                <w:rFonts w:hint="eastAsia" w:ascii="宋体" w:hAnsi="宋体" w:eastAsia="宋体" w:cs="宋体"/>
                <w:i w:val="0"/>
                <w:iCs w:val="0"/>
                <w:color w:val="000000"/>
                <w:kern w:val="0"/>
                <w:sz w:val="24"/>
                <w:szCs w:val="24"/>
                <w:u w:val="none"/>
                <w:lang w:val="en-US" w:eastAsia="zh-CN" w:bidi="ar"/>
              </w:rPr>
              <w:t>66000</w:t>
            </w:r>
            <w:r>
              <w:rPr>
                <w:rFonts w:hint="eastAsia" w:ascii="宋体" w:hAnsi="宋体" w:eastAsia="宋体" w:cs="宋体"/>
                <w:i w:val="0"/>
                <w:iCs w:val="0"/>
                <w:color w:val="000000"/>
                <w:kern w:val="0"/>
                <w:sz w:val="24"/>
                <w:szCs w:val="24"/>
                <w:u w:val="none"/>
                <w:lang w:val="en-US" w:eastAsia="zh-CN" w:bidi="ar"/>
              </w:rPr>
              <w:fldChar w:fldCharType="end"/>
            </w:r>
          </w:p>
        </w:tc>
        <w:tc>
          <w:tcPr>
            <w:tcW w:w="833" w:type="dxa"/>
            <w:noWrap w:val="0"/>
            <w:vAlign w:val="center"/>
          </w:tcPr>
          <w:p>
            <w:pPr>
              <w:adjustRightInd w:val="0"/>
              <w:snapToGrid w:val="0"/>
              <w:ind w:left="-96" w:leftChars="-46" w:right="-63" w:rightChars="-3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fldChar w:fldCharType="begin"/>
            </w:r>
            <w:r>
              <w:rPr>
                <w:rFonts w:hint="eastAsia" w:ascii="宋体" w:hAnsi="宋体" w:eastAsia="宋体" w:cs="宋体"/>
                <w:color w:val="auto"/>
                <w:sz w:val="24"/>
                <w:szCs w:val="24"/>
                <w:highlight w:val="none"/>
                <w:lang w:val="en-US" w:eastAsia="zh-CN"/>
              </w:rPr>
              <w:instrText xml:space="preserve"> = sum(I2:I4) \* MERGEFORMAT </w:instrText>
            </w:r>
            <w:r>
              <w:rPr>
                <w:rFonts w:hint="eastAsia" w:ascii="宋体" w:hAnsi="宋体" w:eastAsia="宋体" w:cs="宋体"/>
                <w:color w:val="auto"/>
                <w:sz w:val="24"/>
                <w:szCs w:val="24"/>
                <w:highlight w:val="none"/>
                <w:lang w:val="en-US" w:eastAsia="zh-CN"/>
              </w:rPr>
              <w:fldChar w:fldCharType="separate"/>
            </w:r>
            <w:r>
              <w:rPr>
                <w:rFonts w:hint="eastAsia" w:ascii="宋体" w:hAnsi="宋体" w:eastAsia="宋体" w:cs="宋体"/>
                <w:color w:val="auto"/>
                <w:sz w:val="24"/>
                <w:szCs w:val="24"/>
                <w:highlight w:val="none"/>
                <w:lang w:val="en-US" w:eastAsia="zh-CN"/>
              </w:rPr>
              <w:fldChar w:fldCharType="end"/>
            </w:r>
          </w:p>
        </w:tc>
      </w:tr>
    </w:tbl>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adjustRightInd w:val="0"/>
        <w:snapToGrid w:val="0"/>
        <w:spacing w:line="360" w:lineRule="auto"/>
        <w:ind w:firstLine="480" w:firstLineChars="200"/>
        <w:rPr>
          <w:rFonts w:hint="eastAsia" w:ascii="宋体" w:hAnsi="宋体" w:eastAsia="宋体" w:cs="宋体"/>
          <w:sz w:val="24"/>
          <w:szCs w:val="24"/>
          <w:u w:val="single"/>
        </w:rPr>
      </w:pPr>
    </w:p>
    <w:p>
      <w:pPr>
        <w:rPr>
          <w:rFonts w:hint="eastAsia" w:ascii="宋体" w:hAnsi="宋体" w:eastAsia="宋体" w:cs="宋体"/>
          <w:sz w:val="24"/>
          <w:szCs w:val="32"/>
        </w:rPr>
      </w:pP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7E4CA5"/>
    <w:rsid w:val="00931E2E"/>
    <w:rsid w:val="011B65F7"/>
    <w:rsid w:val="02D250D2"/>
    <w:rsid w:val="03215DBB"/>
    <w:rsid w:val="03FA6736"/>
    <w:rsid w:val="04A667D1"/>
    <w:rsid w:val="04C05D6E"/>
    <w:rsid w:val="05015EA4"/>
    <w:rsid w:val="050A1B39"/>
    <w:rsid w:val="058709BB"/>
    <w:rsid w:val="06962ED4"/>
    <w:rsid w:val="06DB305C"/>
    <w:rsid w:val="06FA6949"/>
    <w:rsid w:val="07754928"/>
    <w:rsid w:val="0790350F"/>
    <w:rsid w:val="08AC4379"/>
    <w:rsid w:val="08C07E24"/>
    <w:rsid w:val="094D0BD1"/>
    <w:rsid w:val="0A6F4491"/>
    <w:rsid w:val="0AB97494"/>
    <w:rsid w:val="0DEF3649"/>
    <w:rsid w:val="0E9E6313"/>
    <w:rsid w:val="0ED8043D"/>
    <w:rsid w:val="0F760EB9"/>
    <w:rsid w:val="0F8B500C"/>
    <w:rsid w:val="0FEE5B4E"/>
    <w:rsid w:val="11224330"/>
    <w:rsid w:val="131D2EF4"/>
    <w:rsid w:val="1363255E"/>
    <w:rsid w:val="13852CC2"/>
    <w:rsid w:val="14DB226E"/>
    <w:rsid w:val="14FB78D6"/>
    <w:rsid w:val="150047FF"/>
    <w:rsid w:val="150572EB"/>
    <w:rsid w:val="15323E58"/>
    <w:rsid w:val="15941CDF"/>
    <w:rsid w:val="15BE4F2F"/>
    <w:rsid w:val="15DB027C"/>
    <w:rsid w:val="16545546"/>
    <w:rsid w:val="16553B5F"/>
    <w:rsid w:val="18DC4F22"/>
    <w:rsid w:val="194C0159"/>
    <w:rsid w:val="1A1E155E"/>
    <w:rsid w:val="1A3C6975"/>
    <w:rsid w:val="1B6D271D"/>
    <w:rsid w:val="1B727189"/>
    <w:rsid w:val="1B7374E8"/>
    <w:rsid w:val="1BA7045D"/>
    <w:rsid w:val="1CB4115D"/>
    <w:rsid w:val="1DA24572"/>
    <w:rsid w:val="1E022400"/>
    <w:rsid w:val="1E315998"/>
    <w:rsid w:val="1ECC0A19"/>
    <w:rsid w:val="1EF45B31"/>
    <w:rsid w:val="1F2A0E82"/>
    <w:rsid w:val="1F82787C"/>
    <w:rsid w:val="1FD97FBD"/>
    <w:rsid w:val="20AB7B9C"/>
    <w:rsid w:val="21B70C4B"/>
    <w:rsid w:val="21B77DE1"/>
    <w:rsid w:val="22123047"/>
    <w:rsid w:val="221C3983"/>
    <w:rsid w:val="224673AD"/>
    <w:rsid w:val="22673393"/>
    <w:rsid w:val="257D5B7D"/>
    <w:rsid w:val="267B033E"/>
    <w:rsid w:val="26BB3CAD"/>
    <w:rsid w:val="27206EB6"/>
    <w:rsid w:val="27AF7ECC"/>
    <w:rsid w:val="27EC45BA"/>
    <w:rsid w:val="28A06791"/>
    <w:rsid w:val="29827E50"/>
    <w:rsid w:val="2A41062F"/>
    <w:rsid w:val="2A4915D0"/>
    <w:rsid w:val="2B405C26"/>
    <w:rsid w:val="2C227830"/>
    <w:rsid w:val="2C425F6B"/>
    <w:rsid w:val="2D7E525F"/>
    <w:rsid w:val="2DD0518E"/>
    <w:rsid w:val="2DE80212"/>
    <w:rsid w:val="2E1F22C2"/>
    <w:rsid w:val="2E5B7E80"/>
    <w:rsid w:val="316118C9"/>
    <w:rsid w:val="32F40966"/>
    <w:rsid w:val="331C3D26"/>
    <w:rsid w:val="34416B52"/>
    <w:rsid w:val="344B390F"/>
    <w:rsid w:val="348E2A01"/>
    <w:rsid w:val="34EF41BD"/>
    <w:rsid w:val="38327B47"/>
    <w:rsid w:val="388B0A4F"/>
    <w:rsid w:val="38990258"/>
    <w:rsid w:val="39A26DC7"/>
    <w:rsid w:val="39F313FD"/>
    <w:rsid w:val="3A4072B5"/>
    <w:rsid w:val="3C2A73D1"/>
    <w:rsid w:val="3C7A562D"/>
    <w:rsid w:val="3C83190D"/>
    <w:rsid w:val="3CD750E6"/>
    <w:rsid w:val="3D6E1FE9"/>
    <w:rsid w:val="3DC67328"/>
    <w:rsid w:val="3E495D43"/>
    <w:rsid w:val="3F917214"/>
    <w:rsid w:val="40637B53"/>
    <w:rsid w:val="40A84E4B"/>
    <w:rsid w:val="40A87715"/>
    <w:rsid w:val="41585655"/>
    <w:rsid w:val="42331CC0"/>
    <w:rsid w:val="42344277"/>
    <w:rsid w:val="426207E5"/>
    <w:rsid w:val="42D42C26"/>
    <w:rsid w:val="435541C8"/>
    <w:rsid w:val="44461776"/>
    <w:rsid w:val="45F52AE7"/>
    <w:rsid w:val="46C16C66"/>
    <w:rsid w:val="46E21856"/>
    <w:rsid w:val="488D0539"/>
    <w:rsid w:val="491C4628"/>
    <w:rsid w:val="4AA94628"/>
    <w:rsid w:val="4AE069C8"/>
    <w:rsid w:val="4BAF2C6A"/>
    <w:rsid w:val="4CC534AD"/>
    <w:rsid w:val="4D550D34"/>
    <w:rsid w:val="4D9C7AE5"/>
    <w:rsid w:val="4DE27BCF"/>
    <w:rsid w:val="4E07250D"/>
    <w:rsid w:val="4E8E7F21"/>
    <w:rsid w:val="4F36126D"/>
    <w:rsid w:val="4FC9047D"/>
    <w:rsid w:val="50EA35DF"/>
    <w:rsid w:val="51395001"/>
    <w:rsid w:val="518E0BE4"/>
    <w:rsid w:val="540F010F"/>
    <w:rsid w:val="541D3002"/>
    <w:rsid w:val="54482C89"/>
    <w:rsid w:val="561A162C"/>
    <w:rsid w:val="5637484F"/>
    <w:rsid w:val="567445FB"/>
    <w:rsid w:val="56836B41"/>
    <w:rsid w:val="57D909D8"/>
    <w:rsid w:val="588028B4"/>
    <w:rsid w:val="590D4488"/>
    <w:rsid w:val="59583E8A"/>
    <w:rsid w:val="5A7B4CD9"/>
    <w:rsid w:val="5A8B715B"/>
    <w:rsid w:val="5B072D06"/>
    <w:rsid w:val="5BD60666"/>
    <w:rsid w:val="5CC40ECB"/>
    <w:rsid w:val="5DCD15E8"/>
    <w:rsid w:val="5E810D50"/>
    <w:rsid w:val="5F167D32"/>
    <w:rsid w:val="5F5664FE"/>
    <w:rsid w:val="604B1226"/>
    <w:rsid w:val="62552F14"/>
    <w:rsid w:val="625C2A2B"/>
    <w:rsid w:val="649C61C5"/>
    <w:rsid w:val="64EB679E"/>
    <w:rsid w:val="666B40A1"/>
    <w:rsid w:val="67852B9B"/>
    <w:rsid w:val="67D12641"/>
    <w:rsid w:val="67F40682"/>
    <w:rsid w:val="67FD0BD9"/>
    <w:rsid w:val="67FE7C6D"/>
    <w:rsid w:val="686B0825"/>
    <w:rsid w:val="688D2C3B"/>
    <w:rsid w:val="68BE2C03"/>
    <w:rsid w:val="693375EE"/>
    <w:rsid w:val="695D3CD4"/>
    <w:rsid w:val="6A397B67"/>
    <w:rsid w:val="6AEB0B1F"/>
    <w:rsid w:val="6B0C63F2"/>
    <w:rsid w:val="6C1C7FD0"/>
    <w:rsid w:val="6C1D5E3D"/>
    <w:rsid w:val="6D2E78EB"/>
    <w:rsid w:val="6D947D96"/>
    <w:rsid w:val="6DB60989"/>
    <w:rsid w:val="6DBB40E1"/>
    <w:rsid w:val="6ED3749B"/>
    <w:rsid w:val="6F137BB5"/>
    <w:rsid w:val="6F474B07"/>
    <w:rsid w:val="6FB65C69"/>
    <w:rsid w:val="6FFF7D63"/>
    <w:rsid w:val="70AD5DFC"/>
    <w:rsid w:val="70EB10A6"/>
    <w:rsid w:val="7129356D"/>
    <w:rsid w:val="716B48E6"/>
    <w:rsid w:val="71A61439"/>
    <w:rsid w:val="71CA4371"/>
    <w:rsid w:val="71EF7683"/>
    <w:rsid w:val="72FF50E9"/>
    <w:rsid w:val="73887FDB"/>
    <w:rsid w:val="73FF709F"/>
    <w:rsid w:val="770555B0"/>
    <w:rsid w:val="7A5A276E"/>
    <w:rsid w:val="7A6F3D08"/>
    <w:rsid w:val="7C4F3DF1"/>
    <w:rsid w:val="7D140B97"/>
    <w:rsid w:val="7E0F24BD"/>
    <w:rsid w:val="7E41356B"/>
    <w:rsid w:val="7FB81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1"/>
    <w:qFormat/>
    <w:uiPriority w:val="0"/>
    <w:pPr>
      <w:keepNext/>
      <w:keepLines/>
      <w:spacing w:before="220" w:after="210" w:line="360" w:lineRule="auto"/>
      <w:outlineLvl w:val="0"/>
    </w:pPr>
    <w:rPr>
      <w:b/>
      <w:kern w:val="44"/>
      <w:sz w:val="44"/>
    </w:rPr>
  </w:style>
  <w:style w:type="paragraph" w:styleId="5">
    <w:name w:val="heading 2"/>
    <w:basedOn w:val="6"/>
    <w:next w:val="1"/>
    <w:link w:val="12"/>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3"/>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character" w:customStyle="1" w:styleId="11">
    <w:name w:val="标题 1 Char"/>
    <w:link w:val="4"/>
    <w:qFormat/>
    <w:uiPriority w:val="0"/>
    <w:rPr>
      <w:rFonts w:ascii="Times New Roman" w:hAnsi="Times New Roman" w:eastAsia="宋体" w:cs="Times New Roman"/>
      <w:b/>
      <w:bCs/>
      <w:kern w:val="44"/>
      <w:sz w:val="52"/>
      <w:szCs w:val="52"/>
    </w:rPr>
  </w:style>
  <w:style w:type="character" w:customStyle="1" w:styleId="12">
    <w:name w:val="标题 2 Char"/>
    <w:link w:val="5"/>
    <w:qFormat/>
    <w:uiPriority w:val="0"/>
    <w:rPr>
      <w:rFonts w:ascii="Arial" w:hAnsi="Arial" w:eastAsia="宋体" w:cs="Courier New"/>
      <w:b/>
      <w:bCs/>
      <w:sz w:val="32"/>
      <w:szCs w:val="21"/>
    </w:rPr>
  </w:style>
  <w:style w:type="character" w:customStyle="1" w:styleId="13">
    <w:name w:val="标题 3 Char"/>
    <w:link w:val="7"/>
    <w:qFormat/>
    <w:uiPriority w:val="0"/>
    <w:rPr>
      <w:rFonts w:eastAsia="宋体"/>
      <w:b/>
      <w:sz w:val="28"/>
    </w:rPr>
  </w:style>
  <w:style w:type="character" w:customStyle="1" w:styleId="14">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794</Words>
  <Characters>832</Characters>
  <Lines>0</Lines>
  <Paragraphs>0</Paragraphs>
  <TotalTime>0</TotalTime>
  <ScaleCrop>false</ScaleCrop>
  <LinksUpToDate>false</LinksUpToDate>
  <CharactersWithSpaces>965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2022-03-25T03:03:00Z</cp:lastPrinted>
  <dcterms:modified xsi:type="dcterms:W3CDTF">2022-09-13T08:23:03Z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