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adjustRightInd w:val="0"/>
        <w:snapToGrid w:val="0"/>
        <w:spacing w:line="360" w:lineRule="auto"/>
        <w:jc w:val="center"/>
        <w:rPr>
          <w:rFonts w:hint="eastAsia" w:ascii="宋体" w:hAnsi="宋体" w:eastAsia="宋体" w:cs="宋体"/>
          <w:b/>
          <w:bCs/>
          <w:sz w:val="44"/>
          <w:szCs w:val="44"/>
        </w:rPr>
      </w:pPr>
      <w:bookmarkStart w:id="0" w:name="_Toc7832_WPSOffice_Level1"/>
      <w:bookmarkStart w:id="1" w:name="_Toc11644_WPSOffice_Level1"/>
      <w:r>
        <w:rPr>
          <w:rFonts w:hint="eastAsia" w:ascii="宋体" w:hAnsi="宋体" w:eastAsia="宋体" w:cs="宋体"/>
          <w:b/>
          <w:bCs/>
          <w:sz w:val="44"/>
          <w:szCs w:val="44"/>
        </w:rPr>
        <w:t>政府采购合同</w:t>
      </w:r>
      <w:bookmarkEnd w:id="0"/>
      <w:bookmarkEnd w:id="1"/>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政府采购合同编号：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签订地点：</w:t>
      </w:r>
    </w:p>
    <w:p>
      <w:pPr>
        <w:adjustRightInd w:val="0"/>
        <w:snapToGrid w:val="0"/>
        <w:spacing w:line="360" w:lineRule="auto"/>
        <w:ind w:firstLine="640"/>
        <w:jc w:val="left"/>
        <w:rPr>
          <w:rFonts w:hint="eastAsia" w:ascii="宋体" w:hAnsi="宋体" w:eastAsia="宋体" w:cs="宋体"/>
          <w:szCs w:val="21"/>
        </w:rPr>
      </w:pPr>
      <w:r>
        <w:rPr>
          <w:rFonts w:hint="eastAsia" w:ascii="宋体" w:hAnsi="宋体" w:eastAsia="宋体" w:cs="宋体"/>
          <w:szCs w:val="21"/>
          <w:u w:val="single"/>
        </w:rPr>
        <w:t xml:space="preserve"> </w:t>
      </w:r>
      <w:r>
        <w:rPr>
          <w:rStyle w:val="15"/>
          <w:rFonts w:hint="eastAsia" w:ascii="宋体" w:hAnsi="宋体" w:eastAsia="宋体" w:cs="宋体"/>
          <w:szCs w:val="21"/>
          <w:u w:val="single"/>
          <w:lang w:eastAsia="zh-CN"/>
        </w:rPr>
        <w:t>溪湖区疾病预防控制中心（溪湖区妇幼保健计划生育服务中心）</w:t>
      </w:r>
      <w:r>
        <w:rPr>
          <w:rFonts w:hint="eastAsia" w:ascii="宋体" w:hAnsi="宋体" w:eastAsia="宋体" w:cs="宋体"/>
          <w:szCs w:val="21"/>
          <w:u w:val="single"/>
        </w:rPr>
        <w:t xml:space="preserve"> (需方名称) </w:t>
      </w:r>
      <w:r>
        <w:rPr>
          <w:rFonts w:hint="eastAsia" w:ascii="宋体" w:hAnsi="宋体" w:eastAsia="宋体" w:cs="宋体"/>
          <w:szCs w:val="21"/>
          <w:u w:val="single"/>
          <w:lang w:val="en-US" w:eastAsia="zh-CN"/>
        </w:rPr>
        <w:t xml:space="preserve"> </w:t>
      </w:r>
      <w:r>
        <w:rPr>
          <w:rFonts w:hint="eastAsia" w:ascii="宋体" w:hAnsi="宋体" w:eastAsia="宋体" w:cs="宋体"/>
          <w:szCs w:val="21"/>
        </w:rPr>
        <w:t>（以下简称需方）和</w:t>
      </w:r>
      <w:r>
        <w:rPr>
          <w:rFonts w:hint="eastAsia" w:ascii="宋体" w:hAnsi="宋体" w:eastAsia="宋体" w:cs="宋体"/>
          <w:szCs w:val="21"/>
          <w:u w:val="single"/>
        </w:rPr>
        <w:t xml:space="preserve">   </w:t>
      </w:r>
      <w:r>
        <w:rPr>
          <w:rFonts w:hint="eastAsia" w:ascii="宋体" w:hAnsi="宋体" w:eastAsia="宋体" w:cs="宋体"/>
          <w:szCs w:val="21"/>
          <w:u w:val="single"/>
          <w:lang w:eastAsia="zh-CN"/>
        </w:rPr>
        <w:t>辽宁大海医疗科技有限公司</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(供方名称)  </w:t>
      </w:r>
      <w:r>
        <w:rPr>
          <w:rFonts w:hint="eastAsia" w:ascii="宋体" w:hAnsi="宋体" w:eastAsia="宋体" w:cs="宋体"/>
          <w:szCs w:val="21"/>
        </w:rPr>
        <w:t xml:space="preserve"> （以下简称供方）根据《中华人民共和国合同法》和有关法律法规，遵循平等、自愿、公平和诚实信用原则，同意按照下面的条款和条件订立本政府采购合同，共同信守。</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2" w:name="_Toc13230_WPSOffice_Level2"/>
      <w:r>
        <w:rPr>
          <w:rFonts w:hint="eastAsia" w:ascii="宋体" w:hAnsi="宋体" w:eastAsia="宋体" w:cs="宋体"/>
          <w:b/>
          <w:szCs w:val="21"/>
        </w:rPr>
        <w:t>一、政府采购合同文件</w:t>
      </w:r>
      <w:bookmarkEnd w:id="2"/>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本政府采购合同所附下列文件是构成本政府采购合同不可分割的部分：</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1.招标文件（招标文件编号）；</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2.招标文件的更正公告、变更公告；</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3.中标人提交的投标文件；</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4.政府采购合同条款；</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5.中标通知书；</w:t>
      </w:r>
    </w:p>
    <w:p>
      <w:pPr>
        <w:adjustRightInd w:val="0"/>
        <w:snapToGrid w:val="0"/>
        <w:spacing w:line="360" w:lineRule="auto"/>
        <w:ind w:firstLine="420" w:firstLineChars="200"/>
        <w:jc w:val="left"/>
        <w:rPr>
          <w:rFonts w:hint="eastAsia" w:ascii="宋体" w:hAnsi="宋体" w:eastAsia="宋体" w:cs="宋体"/>
          <w:szCs w:val="21"/>
        </w:rPr>
      </w:pPr>
      <w:r>
        <w:rPr>
          <w:rFonts w:hint="eastAsia" w:ascii="宋体" w:hAnsi="宋体" w:eastAsia="宋体" w:cs="宋体"/>
          <w:szCs w:val="21"/>
        </w:rPr>
        <w:t>6.政府采购合同的其它附件。</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3" w:name="_Toc19527_WPSOffice_Level2"/>
      <w:r>
        <w:rPr>
          <w:rFonts w:hint="eastAsia" w:ascii="宋体" w:hAnsi="宋体" w:eastAsia="宋体" w:cs="宋体"/>
          <w:b/>
          <w:szCs w:val="21"/>
        </w:rPr>
        <w:t>二、政府采购合同范围和条件</w:t>
      </w:r>
      <w:bookmarkEnd w:id="3"/>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本政府采购合同的范围和条件与上述政府采购合同文件的规定相一致。</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4" w:name="_Toc18050_WPSOffice_Level2"/>
      <w:r>
        <w:rPr>
          <w:rFonts w:hint="eastAsia" w:ascii="宋体" w:hAnsi="宋体" w:eastAsia="宋体" w:cs="宋体"/>
          <w:b/>
          <w:szCs w:val="21"/>
        </w:rPr>
        <w:t>三、政府采购合同标的</w:t>
      </w:r>
      <w:bookmarkEnd w:id="4"/>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本政府采购合同的标的为招标文件中所列货物及相关服务。</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5" w:name="_Toc27886_WPSOffice_Level2"/>
      <w:r>
        <w:rPr>
          <w:rFonts w:hint="eastAsia" w:ascii="宋体" w:hAnsi="宋体" w:eastAsia="宋体" w:cs="宋体"/>
          <w:b/>
          <w:szCs w:val="21"/>
        </w:rPr>
        <w:t>四、政府采购合同金额</w:t>
      </w:r>
      <w:bookmarkEnd w:id="5"/>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highlight w:val="none"/>
        </w:rPr>
        <w:t xml:space="preserve">    根据上述政府采购合同文件要求，政府采购合同的总金额为人民币</w:t>
      </w:r>
      <w:r>
        <w:rPr>
          <w:rFonts w:hint="eastAsia" w:ascii="宋体" w:hAnsi="宋体" w:eastAsia="宋体" w:cs="宋体"/>
          <w:szCs w:val="21"/>
          <w:highlight w:val="none"/>
          <w:u w:val="single"/>
        </w:rPr>
        <w:t xml:space="preserve"> （大写）</w:t>
      </w:r>
      <w:r>
        <w:rPr>
          <w:rFonts w:hint="eastAsia" w:ascii="宋体" w:hAnsi="宋体" w:eastAsia="宋体" w:cs="宋体"/>
          <w:szCs w:val="21"/>
          <w:highlight w:val="none"/>
          <w:u w:val="single"/>
          <w:lang w:val="en-US" w:eastAsia="zh-CN"/>
        </w:rPr>
        <w:t xml:space="preserve"> 叁拾贰万</w:t>
      </w:r>
      <w:bookmarkStart w:id="12" w:name="_GoBack"/>
      <w:bookmarkEnd w:id="12"/>
      <w:r>
        <w:rPr>
          <w:rFonts w:hint="eastAsia" w:ascii="宋体" w:hAnsi="宋体" w:eastAsia="宋体" w:cs="宋体"/>
          <w:szCs w:val="21"/>
          <w:highlight w:val="none"/>
          <w:u w:val="single"/>
          <w:lang w:val="en-US" w:eastAsia="zh-CN"/>
        </w:rPr>
        <w:t>元整</w:t>
      </w:r>
      <w:r>
        <w:rPr>
          <w:rFonts w:hint="eastAsia" w:ascii="宋体" w:hAnsi="宋体" w:eastAsia="宋体" w:cs="宋体"/>
          <w:szCs w:val="21"/>
          <w:highlight w:val="none"/>
          <w:u w:val="single"/>
        </w:rPr>
        <w:t xml:space="preserve"> </w:t>
      </w:r>
      <w:r>
        <w:rPr>
          <w:rFonts w:hint="eastAsia" w:ascii="宋体" w:hAnsi="宋体" w:eastAsia="宋体" w:cs="宋体"/>
          <w:szCs w:val="21"/>
          <w:u w:val="single"/>
        </w:rPr>
        <w:t xml:space="preserve"> </w:t>
      </w:r>
      <w:r>
        <w:rPr>
          <w:rFonts w:hint="eastAsia" w:ascii="宋体" w:hAnsi="宋体" w:eastAsia="宋体" w:cs="宋体"/>
          <w:szCs w:val="21"/>
        </w:rPr>
        <w:t xml:space="preserve"> 元。</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注：存在分项产品的必须清晰列明分项产品明细，包括名称、数量、分项报价等，并作为合同组成部分。</w:t>
      </w:r>
    </w:p>
    <w:tbl>
      <w:tblPr>
        <w:tblStyle w:val="10"/>
        <w:tblW w:w="868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45"/>
        <w:gridCol w:w="2925"/>
        <w:gridCol w:w="1357"/>
        <w:gridCol w:w="813"/>
        <w:gridCol w:w="934"/>
        <w:gridCol w:w="833"/>
        <w:gridCol w:w="97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序号</w:t>
            </w:r>
          </w:p>
        </w:tc>
        <w:tc>
          <w:tcPr>
            <w:tcW w:w="292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名称</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t>规格型号</w:t>
            </w:r>
          </w:p>
        </w:tc>
        <w:tc>
          <w:tcPr>
            <w:tcW w:w="81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单位</w:t>
            </w:r>
          </w:p>
        </w:tc>
        <w:tc>
          <w:tcPr>
            <w:tcW w:w="934"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数量</w:t>
            </w:r>
          </w:p>
        </w:tc>
        <w:tc>
          <w:tcPr>
            <w:tcW w:w="833"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单价</w:t>
            </w:r>
          </w:p>
        </w:tc>
        <w:tc>
          <w:tcPr>
            <w:tcW w:w="97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金额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w:t>
            </w:r>
          </w:p>
        </w:tc>
        <w:tc>
          <w:tcPr>
            <w:tcW w:w="2925"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医用防护口罩</w:t>
            </w:r>
          </w:p>
        </w:tc>
        <w:tc>
          <w:tcPr>
            <w:tcW w:w="1357" w:type="dxa"/>
            <w:vAlign w:val="center"/>
          </w:tcPr>
          <w:p>
            <w:pPr>
              <w:keepNext w:val="0"/>
              <w:keepLines w:val="0"/>
              <w:widowControl/>
              <w:suppressLineNumbers w:val="0"/>
              <w:jc w:val="center"/>
              <w:textAlignment w:val="center"/>
              <w:rPr>
                <w:rFonts w:hint="default" w:ascii="宋体" w:hAnsi="宋体" w:eastAsia="宋体" w:cs="宋体"/>
                <w:i w:val="0"/>
                <w:iCs w:val="0"/>
                <w:color w:val="000000"/>
                <w:kern w:val="2"/>
                <w:sz w:val="24"/>
                <w:szCs w:val="24"/>
                <w:u w:val="none"/>
                <w:lang w:val="en-US" w:eastAsia="zh-CN" w:bidi="ar-SA"/>
              </w:rPr>
            </w:pPr>
            <w:r>
              <w:rPr>
                <w:rFonts w:hint="eastAsia" w:ascii="宋体" w:hAnsi="宋体" w:eastAsia="宋体" w:cs="宋体"/>
                <w:i w:val="0"/>
                <w:iCs w:val="0"/>
                <w:color w:val="000000"/>
                <w:kern w:val="0"/>
                <w:sz w:val="24"/>
                <w:szCs w:val="24"/>
                <w:u w:val="none"/>
                <w:lang w:val="en-US" w:eastAsia="zh-CN" w:bidi="ar"/>
              </w:rPr>
              <w:t>头戴式N95</w:t>
            </w:r>
          </w:p>
        </w:tc>
        <w:tc>
          <w:tcPr>
            <w:tcW w:w="81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个</w:t>
            </w:r>
          </w:p>
        </w:tc>
        <w:tc>
          <w:tcPr>
            <w:tcW w:w="934"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833" w:type="dxa"/>
            <w:vAlign w:val="center"/>
          </w:tcPr>
          <w:p>
            <w:pPr>
              <w:keepNext w:val="0"/>
              <w:keepLines w:val="0"/>
              <w:widowControl/>
              <w:suppressLineNumbers w:val="0"/>
              <w:jc w:val="right"/>
              <w:textAlignment w:val="center"/>
              <w:rPr>
                <w:rFonts w:hint="default"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2.70</w:t>
            </w:r>
          </w:p>
        </w:tc>
        <w:tc>
          <w:tcPr>
            <w:tcW w:w="975"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81000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2</w:t>
            </w:r>
          </w:p>
        </w:tc>
        <w:tc>
          <w:tcPr>
            <w:tcW w:w="2925"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医用隔离鞋套</w:t>
            </w:r>
          </w:p>
        </w:tc>
        <w:tc>
          <w:tcPr>
            <w:tcW w:w="1357"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单筋</w:t>
            </w:r>
          </w:p>
        </w:tc>
        <w:tc>
          <w:tcPr>
            <w:tcW w:w="81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934"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10000</w:t>
            </w:r>
          </w:p>
        </w:tc>
        <w:tc>
          <w:tcPr>
            <w:tcW w:w="833"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3.95</w:t>
            </w:r>
          </w:p>
        </w:tc>
        <w:tc>
          <w:tcPr>
            <w:tcW w:w="975"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39500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3</w:t>
            </w:r>
          </w:p>
        </w:tc>
        <w:tc>
          <w:tcPr>
            <w:tcW w:w="2925"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鞋套</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i w:val="0"/>
                <w:iCs w:val="0"/>
                <w:color w:val="000000"/>
                <w:kern w:val="0"/>
                <w:sz w:val="24"/>
                <w:szCs w:val="24"/>
                <w:u w:val="none"/>
                <w:lang w:val="en-US" w:eastAsia="zh-CN" w:bidi="ar"/>
              </w:rPr>
              <w:t>无纺布</w:t>
            </w:r>
          </w:p>
        </w:tc>
        <w:tc>
          <w:tcPr>
            <w:tcW w:w="81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934"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30000</w:t>
            </w:r>
          </w:p>
        </w:tc>
        <w:tc>
          <w:tcPr>
            <w:tcW w:w="833"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0.50</w:t>
            </w:r>
          </w:p>
        </w:tc>
        <w:tc>
          <w:tcPr>
            <w:tcW w:w="975"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15000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4</w:t>
            </w:r>
          </w:p>
        </w:tc>
        <w:tc>
          <w:tcPr>
            <w:tcW w:w="2925" w:type="dxa"/>
            <w:vAlign w:val="center"/>
          </w:tcPr>
          <w:p>
            <w:pPr>
              <w:keepNext w:val="0"/>
              <w:keepLines w:val="0"/>
              <w:widowControl/>
              <w:suppressLineNumbers w:val="0"/>
              <w:jc w:val="lef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医用一次性灭菌外科手套</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7/7.5/8</w:t>
            </w:r>
          </w:p>
        </w:tc>
        <w:tc>
          <w:tcPr>
            <w:tcW w:w="81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副</w:t>
            </w:r>
          </w:p>
        </w:tc>
        <w:tc>
          <w:tcPr>
            <w:tcW w:w="934"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10000</w:t>
            </w:r>
          </w:p>
        </w:tc>
        <w:tc>
          <w:tcPr>
            <w:tcW w:w="833"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2.45</w:t>
            </w:r>
          </w:p>
        </w:tc>
        <w:tc>
          <w:tcPr>
            <w:tcW w:w="975" w:type="dxa"/>
            <w:vAlign w:val="center"/>
          </w:tcPr>
          <w:p>
            <w:pPr>
              <w:keepNext w:val="0"/>
              <w:keepLines w:val="0"/>
              <w:widowControl/>
              <w:suppressLineNumbers w:val="0"/>
              <w:jc w:val="right"/>
              <w:textAlignment w:val="center"/>
              <w:rPr>
                <w:rFonts w:hint="eastAsia" w:ascii="宋体" w:hAnsi="宋体" w:eastAsia="宋体" w:cs="宋体"/>
                <w:i w:val="0"/>
                <w:iCs w:val="0"/>
                <w:color w:val="000000"/>
                <w:kern w:val="0"/>
                <w:sz w:val="24"/>
                <w:szCs w:val="24"/>
                <w:u w:val="none"/>
                <w:lang w:val="en-US" w:eastAsia="zh-CN" w:bidi="ar"/>
              </w:rPr>
            </w:pPr>
            <w:r>
              <w:rPr>
                <w:rFonts w:hint="eastAsia" w:ascii="宋体" w:hAnsi="宋体" w:eastAsia="宋体" w:cs="宋体"/>
                <w:i w:val="0"/>
                <w:iCs w:val="0"/>
                <w:color w:val="000000"/>
                <w:kern w:val="0"/>
                <w:sz w:val="24"/>
                <w:szCs w:val="24"/>
                <w:u w:val="none"/>
                <w:lang w:val="en-US" w:eastAsia="zh-CN" w:bidi="ar"/>
              </w:rPr>
              <w:t>24500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5</w:t>
            </w:r>
          </w:p>
        </w:tc>
        <w:tc>
          <w:tcPr>
            <w:tcW w:w="2925" w:type="dxa"/>
            <w:vAlign w:val="center"/>
          </w:tcPr>
          <w:p>
            <w:pPr>
              <w:keepNext w:val="0"/>
              <w:keepLines w:val="0"/>
              <w:widowControl/>
              <w:suppressLineNumbers w:val="0"/>
              <w:jc w:val="lef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医用一次性防护服</w:t>
            </w:r>
          </w:p>
        </w:tc>
        <w:tc>
          <w:tcPr>
            <w:tcW w:w="1357" w:type="dxa"/>
            <w:vAlign w:val="center"/>
          </w:tcPr>
          <w:p>
            <w:pPr>
              <w:jc w:val="center"/>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180/185</w:t>
            </w:r>
          </w:p>
        </w:tc>
        <w:tc>
          <w:tcPr>
            <w:tcW w:w="813" w:type="dxa"/>
            <w:vAlign w:val="center"/>
          </w:tcPr>
          <w:p>
            <w:pPr>
              <w:keepNext w:val="0"/>
              <w:keepLines w:val="0"/>
              <w:widowControl/>
              <w:suppressLineNumbers w:val="0"/>
              <w:jc w:val="center"/>
              <w:textAlignment w:val="center"/>
              <w:rPr>
                <w:rFonts w:hint="default" w:ascii="宋体" w:hAnsi="宋体" w:eastAsia="宋体" w:cs="宋体"/>
                <w:kern w:val="2"/>
                <w:sz w:val="24"/>
                <w:szCs w:val="24"/>
                <w:lang w:val="en-US" w:eastAsia="zh-CN" w:bidi="ar-SA"/>
              </w:rPr>
            </w:pPr>
            <w:r>
              <w:rPr>
                <w:rFonts w:hint="eastAsia" w:ascii="宋体" w:hAnsi="宋体" w:eastAsia="宋体" w:cs="宋体"/>
                <w:kern w:val="2"/>
                <w:sz w:val="24"/>
                <w:szCs w:val="24"/>
                <w:lang w:val="en-US" w:eastAsia="zh-CN" w:bidi="ar-SA"/>
              </w:rPr>
              <w:t>件</w:t>
            </w:r>
          </w:p>
        </w:tc>
        <w:tc>
          <w:tcPr>
            <w:tcW w:w="934" w:type="dxa"/>
            <w:vAlign w:val="center"/>
          </w:tcPr>
          <w:p>
            <w:pPr>
              <w:keepNext w:val="0"/>
              <w:keepLines w:val="0"/>
              <w:widowControl/>
              <w:suppressLineNumbers w:val="0"/>
              <w:jc w:val="right"/>
              <w:textAlignment w:val="center"/>
              <w:rPr>
                <w:rFonts w:hint="eastAsia" w:ascii="宋体" w:hAnsi="宋体" w:eastAsia="宋体" w:cs="宋体"/>
                <w:kern w:val="2"/>
                <w:sz w:val="24"/>
                <w:szCs w:val="24"/>
                <w:lang w:val="en-US" w:eastAsia="zh-CN" w:bidi="ar-SA"/>
              </w:rPr>
            </w:pPr>
            <w:r>
              <w:rPr>
                <w:rFonts w:hint="eastAsia" w:ascii="宋体" w:hAnsi="宋体" w:eastAsia="宋体" w:cs="宋体"/>
                <w:i w:val="0"/>
                <w:iCs w:val="0"/>
                <w:color w:val="000000"/>
                <w:kern w:val="0"/>
                <w:sz w:val="24"/>
                <w:szCs w:val="24"/>
                <w:u w:val="none"/>
                <w:lang w:val="en-US" w:eastAsia="zh-CN" w:bidi="ar"/>
              </w:rPr>
              <w:t>5000</w:t>
            </w:r>
          </w:p>
        </w:tc>
        <w:tc>
          <w:tcPr>
            <w:tcW w:w="833"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32.00</w:t>
            </w:r>
          </w:p>
        </w:tc>
        <w:tc>
          <w:tcPr>
            <w:tcW w:w="975" w:type="dxa"/>
            <w:vAlign w:val="center"/>
          </w:tcPr>
          <w:p>
            <w:pPr>
              <w:keepNext w:val="0"/>
              <w:keepLines w:val="0"/>
              <w:widowControl/>
              <w:suppressLineNumbers w:val="0"/>
              <w:jc w:val="right"/>
              <w:textAlignment w:val="center"/>
              <w:rPr>
                <w:rFonts w:hint="eastAsia" w:ascii="宋体" w:hAnsi="宋体" w:eastAsia="宋体" w:cs="宋体"/>
                <w:kern w:val="2"/>
                <w:sz w:val="24"/>
                <w:szCs w:val="24"/>
                <w:vertAlign w:val="baseline"/>
                <w:lang w:val="en-US" w:eastAsia="zh-CN" w:bidi="ar-SA"/>
              </w:rPr>
            </w:pPr>
            <w:r>
              <w:rPr>
                <w:rFonts w:hint="eastAsia" w:ascii="宋体" w:hAnsi="宋体" w:eastAsia="宋体" w:cs="宋体"/>
                <w:i w:val="0"/>
                <w:iCs w:val="0"/>
                <w:color w:val="000000"/>
                <w:kern w:val="0"/>
                <w:sz w:val="24"/>
                <w:szCs w:val="24"/>
                <w:u w:val="none"/>
                <w:lang w:val="en-US" w:eastAsia="zh-CN" w:bidi="ar"/>
              </w:rPr>
              <w:t>160000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0" w:hRule="atLeast"/>
          <w:jc w:val="center"/>
        </w:trPr>
        <w:tc>
          <w:tcPr>
            <w:tcW w:w="845" w:type="dxa"/>
            <w:vAlign w:val="center"/>
          </w:tcPr>
          <w:p>
            <w:pPr>
              <w:jc w:val="center"/>
              <w:rPr>
                <w:rFonts w:hint="eastAsia" w:ascii="宋体" w:hAnsi="宋体" w:eastAsia="宋体" w:cs="宋体"/>
                <w:sz w:val="24"/>
                <w:szCs w:val="24"/>
              </w:rPr>
            </w:pPr>
            <w:r>
              <w:rPr>
                <w:rFonts w:hint="eastAsia" w:ascii="宋体" w:hAnsi="宋体" w:eastAsia="宋体" w:cs="宋体"/>
                <w:sz w:val="24"/>
                <w:szCs w:val="24"/>
              </w:rPr>
              <w:t>总计</w:t>
            </w:r>
          </w:p>
        </w:tc>
        <w:tc>
          <w:tcPr>
            <w:tcW w:w="2925" w:type="dxa"/>
            <w:vAlign w:val="center"/>
          </w:tcPr>
          <w:p>
            <w:pPr>
              <w:jc w:val="center"/>
              <w:rPr>
                <w:rFonts w:hint="eastAsia" w:ascii="宋体" w:hAnsi="宋体" w:eastAsia="宋体" w:cs="宋体"/>
                <w:sz w:val="24"/>
                <w:szCs w:val="24"/>
              </w:rPr>
            </w:pPr>
          </w:p>
        </w:tc>
        <w:tc>
          <w:tcPr>
            <w:tcW w:w="1357" w:type="dxa"/>
            <w:vAlign w:val="center"/>
          </w:tcPr>
          <w:p>
            <w:pPr>
              <w:jc w:val="center"/>
              <w:rPr>
                <w:rFonts w:hint="eastAsia" w:ascii="宋体" w:hAnsi="宋体" w:eastAsia="宋体" w:cs="宋体"/>
                <w:sz w:val="24"/>
                <w:szCs w:val="24"/>
              </w:rPr>
            </w:pPr>
          </w:p>
        </w:tc>
        <w:tc>
          <w:tcPr>
            <w:tcW w:w="813" w:type="dxa"/>
            <w:vAlign w:val="center"/>
          </w:tcPr>
          <w:p>
            <w:pPr>
              <w:jc w:val="center"/>
              <w:rPr>
                <w:rFonts w:hint="eastAsia" w:ascii="宋体" w:hAnsi="宋体" w:eastAsia="宋体" w:cs="宋体"/>
                <w:sz w:val="24"/>
                <w:szCs w:val="24"/>
              </w:rPr>
            </w:pPr>
          </w:p>
        </w:tc>
        <w:tc>
          <w:tcPr>
            <w:tcW w:w="934" w:type="dxa"/>
            <w:vAlign w:val="center"/>
          </w:tcPr>
          <w:p>
            <w:pPr>
              <w:jc w:val="center"/>
              <w:rPr>
                <w:rFonts w:hint="eastAsia" w:ascii="宋体" w:hAnsi="宋体" w:eastAsia="宋体" w:cs="宋体"/>
                <w:sz w:val="24"/>
                <w:szCs w:val="24"/>
              </w:rPr>
            </w:pPr>
          </w:p>
        </w:tc>
        <w:tc>
          <w:tcPr>
            <w:tcW w:w="833" w:type="dxa"/>
            <w:vAlign w:val="center"/>
          </w:tcPr>
          <w:p>
            <w:pPr>
              <w:jc w:val="center"/>
              <w:rPr>
                <w:rFonts w:hint="eastAsia" w:ascii="宋体" w:hAnsi="宋体" w:eastAsia="宋体" w:cs="宋体"/>
                <w:sz w:val="24"/>
                <w:szCs w:val="24"/>
              </w:rPr>
            </w:pPr>
          </w:p>
        </w:tc>
        <w:tc>
          <w:tcPr>
            <w:tcW w:w="975" w:type="dxa"/>
            <w:vAlign w:val="center"/>
          </w:tcPr>
          <w:p>
            <w:pPr>
              <w:jc w:val="center"/>
              <w:rPr>
                <w:rFonts w:hint="eastAsia" w:ascii="宋体" w:hAnsi="宋体" w:eastAsia="宋体" w:cs="宋体"/>
                <w:sz w:val="24"/>
                <w:szCs w:val="24"/>
                <w:lang w:val="en-US" w:eastAsia="zh-CN"/>
              </w:rPr>
            </w:pPr>
            <w:r>
              <w:rPr>
                <w:rFonts w:hint="eastAsia" w:ascii="宋体" w:hAnsi="宋体" w:eastAsia="宋体" w:cs="宋体"/>
                <w:sz w:val="24"/>
                <w:szCs w:val="24"/>
                <w:lang w:val="en-US" w:eastAsia="zh-CN"/>
              </w:rPr>
              <w:fldChar w:fldCharType="begin"/>
            </w:r>
            <w:r>
              <w:rPr>
                <w:rFonts w:hint="eastAsia" w:ascii="宋体" w:hAnsi="宋体" w:eastAsia="宋体" w:cs="宋体"/>
                <w:sz w:val="24"/>
                <w:szCs w:val="24"/>
                <w:lang w:val="en-US" w:eastAsia="zh-CN"/>
              </w:rPr>
              <w:instrText xml:space="preserve"> = sum(G2:G6) \* MERGEFORMAT </w:instrText>
            </w:r>
            <w:r>
              <w:rPr>
                <w:rFonts w:hint="eastAsia" w:ascii="宋体" w:hAnsi="宋体" w:eastAsia="宋体" w:cs="宋体"/>
                <w:sz w:val="24"/>
                <w:szCs w:val="24"/>
                <w:lang w:val="en-US" w:eastAsia="zh-CN"/>
              </w:rPr>
              <w:fldChar w:fldCharType="separate"/>
            </w:r>
            <w:r>
              <w:rPr>
                <w:rFonts w:hint="eastAsia" w:ascii="宋体" w:hAnsi="宋体" w:eastAsia="宋体" w:cs="宋体"/>
                <w:sz w:val="24"/>
                <w:szCs w:val="24"/>
                <w:lang w:val="en-US" w:eastAsia="zh-CN"/>
              </w:rPr>
              <w:t>320000</w:t>
            </w:r>
            <w:r>
              <w:rPr>
                <w:rFonts w:hint="eastAsia" w:ascii="宋体" w:hAnsi="宋体" w:eastAsia="宋体" w:cs="宋体"/>
                <w:sz w:val="24"/>
                <w:szCs w:val="24"/>
                <w:lang w:val="en-US" w:eastAsia="zh-CN"/>
              </w:rPr>
              <w:fldChar w:fldCharType="end"/>
            </w:r>
          </w:p>
        </w:tc>
      </w:tr>
    </w:tbl>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6" w:name="_Toc22211_WPSOffice_Level2"/>
      <w:r>
        <w:rPr>
          <w:rFonts w:hint="eastAsia" w:ascii="宋体" w:hAnsi="宋体" w:eastAsia="宋体" w:cs="宋体"/>
          <w:b/>
          <w:szCs w:val="21"/>
        </w:rPr>
        <w:t>五、付款方式及条件</w:t>
      </w:r>
      <w:bookmarkEnd w:id="6"/>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lang w:val="en-US" w:eastAsia="zh-CN"/>
        </w:rPr>
        <w:t xml:space="preserve"> </w:t>
      </w:r>
      <w:r>
        <w:rPr>
          <w:rFonts w:hint="eastAsia" w:ascii="宋体" w:hAnsi="宋体" w:eastAsia="宋体" w:cs="宋体"/>
          <w:szCs w:val="21"/>
        </w:rPr>
        <w:t>货到验收合格后</w:t>
      </w:r>
      <w:r>
        <w:rPr>
          <w:rFonts w:hint="eastAsia" w:ascii="宋体" w:hAnsi="宋体" w:eastAsia="宋体" w:cs="宋体"/>
          <w:szCs w:val="21"/>
          <w:lang w:val="en-US" w:eastAsia="zh-CN"/>
        </w:rPr>
        <w:t>一次性支付合同金额的10</w:t>
      </w:r>
      <w:r>
        <w:rPr>
          <w:rFonts w:hint="eastAsia" w:ascii="宋体" w:hAnsi="宋体" w:eastAsia="宋体" w:cs="宋体"/>
          <w:szCs w:val="21"/>
        </w:rPr>
        <w:t>0</w:t>
      </w:r>
      <w:r>
        <w:rPr>
          <w:rFonts w:hint="cs" w:ascii="宋体" w:hAnsi="宋体" w:eastAsia="宋体" w:cs="宋体"/>
          <w:szCs w:val="21"/>
          <w:cs/>
        </w:rPr>
        <w:t>%</w:t>
      </w:r>
      <w:r>
        <w:rPr>
          <w:rFonts w:hint="eastAsia" w:ascii="宋体" w:hAnsi="宋体" w:eastAsia="宋体" w:cs="宋体"/>
          <w:szCs w:val="21"/>
        </w:rPr>
        <w:t>。</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b/>
          <w:szCs w:val="21"/>
        </w:rPr>
        <w:t>　　</w:t>
      </w:r>
      <w:bookmarkStart w:id="7" w:name="_Toc27813_WPSOffice_Level2"/>
      <w:r>
        <w:rPr>
          <w:rFonts w:hint="eastAsia" w:ascii="宋体" w:hAnsi="宋体" w:eastAsia="宋体" w:cs="宋体"/>
          <w:b/>
          <w:szCs w:val="21"/>
        </w:rPr>
        <w:t>六、交货时间和交货地点</w:t>
      </w:r>
      <w:bookmarkEnd w:id="7"/>
    </w:p>
    <w:p>
      <w:pPr>
        <w:adjustRightInd w:val="0"/>
        <w:snapToGrid w:val="0"/>
        <w:spacing w:line="360" w:lineRule="auto"/>
        <w:jc w:val="left"/>
        <w:rPr>
          <w:rFonts w:hint="default" w:ascii="宋体" w:hAnsi="宋体" w:eastAsia="宋体" w:cs="宋体"/>
          <w:szCs w:val="21"/>
          <w:u w:val="single"/>
          <w:lang w:val="en-US" w:eastAsia="zh-CN"/>
        </w:rPr>
      </w:pPr>
      <w:r>
        <w:rPr>
          <w:rFonts w:hint="eastAsia" w:ascii="宋体" w:hAnsi="宋体" w:eastAsia="宋体" w:cs="宋体"/>
          <w:szCs w:val="21"/>
        </w:rPr>
        <w:t xml:space="preserve">    1.交货时间：</w:t>
      </w:r>
      <w:r>
        <w:rPr>
          <w:rFonts w:hint="eastAsia" w:ascii="宋体" w:hAnsi="宋体" w:eastAsia="宋体" w:cs="宋体"/>
          <w:szCs w:val="21"/>
          <w:lang w:val="en-US" w:eastAsia="zh-CN"/>
        </w:rPr>
        <w:t>合同签订后7-10个工作日</w:t>
      </w:r>
    </w:p>
    <w:p>
      <w:pPr>
        <w:adjustRightInd w:val="0"/>
        <w:snapToGrid w:val="0"/>
        <w:spacing w:line="360" w:lineRule="auto"/>
        <w:jc w:val="left"/>
        <w:rPr>
          <w:rFonts w:hint="eastAsia" w:ascii="宋体" w:hAnsi="宋体" w:eastAsia="宋体" w:cs="宋体"/>
          <w:szCs w:val="21"/>
          <w:lang w:val="en-US" w:eastAsia="zh-CN"/>
        </w:rPr>
      </w:pPr>
      <w:r>
        <w:rPr>
          <w:rFonts w:hint="eastAsia" w:ascii="宋体" w:hAnsi="宋体" w:eastAsia="宋体" w:cs="宋体"/>
          <w:szCs w:val="21"/>
        </w:rPr>
        <w:t xml:space="preserve">    2.交货地点：</w:t>
      </w:r>
      <w:r>
        <w:rPr>
          <w:rFonts w:hint="eastAsia" w:ascii="宋体" w:hAnsi="宋体" w:eastAsia="宋体" w:cs="宋体"/>
          <w:szCs w:val="21"/>
          <w:lang w:eastAsia="zh-CN"/>
        </w:rPr>
        <w:t>溪湖区疾病预防控制中心（溪湖区妇幼保健计划生育服务中心）（本溪市溪湖区）</w:t>
      </w:r>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b/>
          <w:szCs w:val="21"/>
        </w:rPr>
        <w:t>　　</w:t>
      </w:r>
      <w:bookmarkStart w:id="8" w:name="_Toc12497_WPSOffice_Level2"/>
      <w:r>
        <w:rPr>
          <w:rFonts w:hint="eastAsia" w:ascii="宋体" w:hAnsi="宋体" w:eastAsia="宋体" w:cs="宋体"/>
          <w:b/>
          <w:szCs w:val="21"/>
        </w:rPr>
        <w:t>七、验收要求</w:t>
      </w:r>
      <w:bookmarkEnd w:id="8"/>
    </w:p>
    <w:p>
      <w:pPr>
        <w:adjustRightInd w:val="0"/>
        <w:snapToGrid w:val="0"/>
        <w:spacing w:line="360" w:lineRule="auto"/>
        <w:jc w:val="left"/>
        <w:rPr>
          <w:rFonts w:hint="eastAsia" w:ascii="宋体" w:hAnsi="宋体" w:eastAsia="宋体" w:cs="宋体"/>
          <w:szCs w:val="21"/>
          <w:u w:val="single"/>
        </w:rPr>
      </w:pPr>
      <w:r>
        <w:rPr>
          <w:rFonts w:hint="eastAsia" w:ascii="宋体" w:hAnsi="宋体" w:eastAsia="宋体" w:cs="宋体"/>
          <w:szCs w:val="21"/>
        </w:rPr>
        <w:t>供方完全履行合同义务后，需方或需方的最终用户按照上述政府采购合同文件列明的标准进行验收，验收不合格的，供方需按照第八条第2款的约定承担相应违约责任。</w:t>
      </w:r>
    </w:p>
    <w:p>
      <w:pPr>
        <w:adjustRightInd w:val="0"/>
        <w:snapToGrid w:val="0"/>
        <w:spacing w:line="360" w:lineRule="auto"/>
        <w:ind w:firstLine="420" w:firstLineChars="200"/>
        <w:jc w:val="left"/>
        <w:rPr>
          <w:rFonts w:hint="eastAsia" w:ascii="宋体" w:hAnsi="宋体" w:eastAsia="宋体" w:cs="宋体"/>
          <w:b/>
          <w:szCs w:val="21"/>
        </w:rPr>
      </w:pPr>
      <w:bookmarkStart w:id="9" w:name="_Toc4868_WPSOffice_Level2"/>
      <w:r>
        <w:rPr>
          <w:rFonts w:hint="eastAsia" w:ascii="宋体" w:hAnsi="宋体" w:eastAsia="宋体" w:cs="宋体"/>
          <w:b/>
          <w:szCs w:val="21"/>
        </w:rPr>
        <w:t>八、违约责任</w:t>
      </w:r>
      <w:bookmarkEnd w:id="9"/>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1.供方逾期供货的，每逾期一天向需方支付逾期供货金额%的违约金，逾期日的，需方有权单方面解除本协议。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2.供方交付的货物不符合约定的，供方无条件更换符合约定的货物，并按照最终提供合格货物的日期遵照前款承担违约责任，更换一次货物后仍不符合约定的，需方有权单方面解除本协议。</w:t>
      </w:r>
    </w:p>
    <w:p>
      <w:pPr>
        <w:adjustRightInd w:val="0"/>
        <w:snapToGrid w:val="0"/>
        <w:spacing w:line="360" w:lineRule="auto"/>
        <w:jc w:val="left"/>
        <w:rPr>
          <w:rFonts w:hint="eastAsia" w:ascii="宋体" w:hAnsi="宋体" w:eastAsia="宋体" w:cs="宋体"/>
          <w:szCs w:val="21"/>
        </w:rPr>
      </w:pPr>
      <w:r>
        <w:rPr>
          <w:rFonts w:hint="eastAsia" w:ascii="宋体" w:hAnsi="宋体" w:eastAsia="宋体" w:cs="宋体"/>
          <w:szCs w:val="21"/>
        </w:rPr>
        <w:t xml:space="preserve">    3.需方逾期付款的，每逾期一天向供方支付逾期金额%的违约金，逾期日的，供方有权单方面解除本协议。</w:t>
      </w:r>
    </w:p>
    <w:p>
      <w:pPr>
        <w:adjustRightInd w:val="0"/>
        <w:snapToGrid w:val="0"/>
        <w:spacing w:line="360" w:lineRule="auto"/>
        <w:ind w:firstLine="420" w:firstLineChars="200"/>
        <w:jc w:val="left"/>
        <w:rPr>
          <w:rFonts w:hint="eastAsia" w:ascii="宋体" w:hAnsi="宋体" w:eastAsia="宋体" w:cs="宋体"/>
          <w:b/>
          <w:szCs w:val="21"/>
        </w:rPr>
      </w:pPr>
      <w:bookmarkStart w:id="10" w:name="_Toc24496_WPSOffice_Level2"/>
      <w:r>
        <w:rPr>
          <w:rFonts w:hint="eastAsia" w:ascii="宋体" w:hAnsi="宋体" w:eastAsia="宋体" w:cs="宋体"/>
          <w:b/>
          <w:szCs w:val="21"/>
        </w:rPr>
        <w:t>九、争议解决</w:t>
      </w:r>
      <w:bookmarkEnd w:id="10"/>
    </w:p>
    <w:p>
      <w:pPr>
        <w:adjustRightInd w:val="0"/>
        <w:snapToGrid w:val="0"/>
        <w:spacing w:line="360" w:lineRule="auto"/>
        <w:jc w:val="left"/>
        <w:rPr>
          <w:rFonts w:hint="eastAsia" w:ascii="宋体" w:hAnsi="宋体" w:eastAsia="宋体" w:cs="宋体"/>
          <w:b/>
          <w:szCs w:val="21"/>
        </w:rPr>
      </w:pPr>
      <w:r>
        <w:rPr>
          <w:rFonts w:hint="eastAsia" w:ascii="宋体" w:hAnsi="宋体" w:eastAsia="宋体" w:cs="宋体"/>
          <w:szCs w:val="21"/>
        </w:rPr>
        <w:t xml:space="preserve">    双方因履行本协议而产生的争议，应友好协商解决，协商不成的，任何一方可向需方所在地的人民法院提起诉讼。</w:t>
      </w:r>
    </w:p>
    <w:p>
      <w:pPr>
        <w:adjustRightInd w:val="0"/>
        <w:snapToGrid w:val="0"/>
        <w:spacing w:line="360" w:lineRule="auto"/>
        <w:ind w:firstLine="420" w:firstLineChars="200"/>
        <w:jc w:val="left"/>
        <w:rPr>
          <w:rFonts w:hint="eastAsia" w:ascii="宋体" w:hAnsi="宋体" w:eastAsia="宋体" w:cs="宋体"/>
          <w:b/>
          <w:szCs w:val="21"/>
        </w:rPr>
      </w:pPr>
      <w:bookmarkStart w:id="11" w:name="_Toc24974_WPSOffice_Level2"/>
      <w:r>
        <w:rPr>
          <w:rFonts w:hint="eastAsia" w:ascii="宋体" w:hAnsi="宋体" w:eastAsia="宋体" w:cs="宋体"/>
          <w:b/>
          <w:szCs w:val="21"/>
        </w:rPr>
        <w:t>十、合同生效</w:t>
      </w:r>
      <w:bookmarkEnd w:id="11"/>
    </w:p>
    <w:p>
      <w:pPr>
        <w:adjustRightInd w:val="0"/>
        <w:snapToGrid w:val="0"/>
        <w:spacing w:line="600" w:lineRule="auto"/>
        <w:jc w:val="left"/>
        <w:rPr>
          <w:rFonts w:hint="eastAsia" w:ascii="宋体" w:hAnsi="宋体" w:eastAsia="宋体" w:cs="宋体"/>
          <w:szCs w:val="21"/>
        </w:rPr>
      </w:pPr>
      <w:r>
        <w:rPr>
          <w:rFonts w:hint="eastAsia" w:ascii="宋体" w:hAnsi="宋体" w:eastAsia="宋体" w:cs="宋体"/>
          <w:szCs w:val="21"/>
        </w:rPr>
        <w:t xml:space="preserve">    本政府采购合同经双方授权代表签字盖章后生效。</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需方（公章）:                      供方(公章):辽宁大海医疗科技有限公司</w:t>
      </w:r>
    </w:p>
    <w:p>
      <w:pPr>
        <w:adjustRightInd w:val="0"/>
        <w:snapToGrid w:val="0"/>
        <w:spacing w:line="600" w:lineRule="auto"/>
        <w:ind w:firstLine="420" w:firstLineChars="200"/>
        <w:jc w:val="left"/>
        <w:rPr>
          <w:rFonts w:hint="eastAsia" w:ascii="宋体" w:hAnsi="宋体" w:eastAsia="宋体" w:cs="宋体"/>
          <w:szCs w:val="21"/>
        </w:rPr>
      </w:pPr>
      <w:r>
        <w:rPr>
          <w:rFonts w:hint="eastAsia" w:ascii="宋体" w:hAnsi="宋体" w:eastAsia="宋体" w:cs="宋体"/>
          <w:szCs w:val="21"/>
        </w:rPr>
        <w:t>法定代表人或授权代表人(签字):      法定代表人或授权代表人(签字):</w:t>
      </w:r>
    </w:p>
    <w:p>
      <w:pPr>
        <w:adjustRightInd w:val="0"/>
        <w:snapToGrid w:val="0"/>
        <w:spacing w:line="600" w:lineRule="auto"/>
        <w:ind w:left="4830" w:leftChars="200" w:hanging="4410" w:hangingChars="2100"/>
        <w:rPr>
          <w:rFonts w:hint="eastAsia" w:ascii="宋体" w:hAnsi="宋体" w:eastAsia="宋体" w:cs="宋体"/>
          <w:szCs w:val="21"/>
          <w:u w:val="single"/>
        </w:rPr>
      </w:pPr>
      <w:r>
        <w:rPr>
          <w:rFonts w:hint="eastAsia" w:ascii="宋体" w:hAnsi="宋体" w:eastAsia="宋体" w:cs="宋体"/>
          <w:szCs w:val="21"/>
        </w:rPr>
        <w:t xml:space="preserve">地址：     </w:t>
      </w:r>
      <w:r>
        <w:rPr>
          <w:rFonts w:hint="eastAsia" w:ascii="宋体" w:hAnsi="宋体" w:eastAsia="宋体" w:cs="宋体"/>
          <w:szCs w:val="21"/>
          <w:lang w:val="en-US" w:eastAsia="zh-CN"/>
        </w:rPr>
        <w:t xml:space="preserve">                        </w:t>
      </w:r>
      <w:r>
        <w:rPr>
          <w:rFonts w:hint="eastAsia" w:ascii="宋体" w:hAnsi="宋体" w:eastAsia="宋体" w:cs="宋体"/>
          <w:szCs w:val="21"/>
        </w:rPr>
        <w:t>地址：</w:t>
      </w:r>
    </w:p>
    <w:p>
      <w:pPr>
        <w:adjustRightInd w:val="0"/>
        <w:snapToGrid w:val="0"/>
        <w:spacing w:line="600" w:lineRule="auto"/>
        <w:ind w:firstLine="420" w:firstLineChars="200"/>
        <w:rPr>
          <w:rFonts w:hint="eastAsia" w:ascii="宋体" w:hAnsi="宋体" w:eastAsia="宋体" w:cs="宋体"/>
          <w:szCs w:val="21"/>
          <w:lang w:val="en-US" w:eastAsia="zh-CN"/>
        </w:rPr>
      </w:pPr>
      <w:r>
        <w:rPr>
          <w:rFonts w:hint="eastAsia" w:ascii="宋体" w:hAnsi="宋体" w:eastAsia="宋体" w:cs="宋体"/>
          <w:szCs w:val="21"/>
        </w:rPr>
        <w:t xml:space="preserve">联系人：     </w:t>
      </w:r>
      <w:r>
        <w:rPr>
          <w:rFonts w:hint="eastAsia" w:ascii="宋体" w:hAnsi="宋体" w:eastAsia="宋体" w:cs="宋体"/>
          <w:szCs w:val="21"/>
          <w:lang w:val="en-US" w:eastAsia="zh-CN"/>
        </w:rPr>
        <w:t xml:space="preserve">                      </w:t>
      </w:r>
      <w:r>
        <w:rPr>
          <w:rFonts w:hint="eastAsia" w:ascii="宋体" w:hAnsi="宋体" w:eastAsia="宋体" w:cs="宋体"/>
          <w:szCs w:val="21"/>
        </w:rPr>
        <w:t>联系人：</w:t>
      </w:r>
    </w:p>
    <w:p>
      <w:pPr>
        <w:adjustRightInd w:val="0"/>
        <w:snapToGrid w:val="0"/>
        <w:spacing w:line="600" w:lineRule="auto"/>
        <w:ind w:firstLine="420" w:firstLineChars="200"/>
        <w:rPr>
          <w:rFonts w:hint="eastAsia" w:ascii="宋体" w:hAnsi="宋体" w:eastAsia="宋体" w:cs="宋体"/>
          <w:szCs w:val="21"/>
          <w:u w:val="single"/>
          <w:lang w:val="en-US" w:eastAsia="zh-CN"/>
        </w:rPr>
      </w:pPr>
      <w:r>
        <w:rPr>
          <w:rFonts w:hint="eastAsia" w:ascii="宋体" w:hAnsi="宋体" w:eastAsia="宋体" w:cs="宋体"/>
          <w:szCs w:val="21"/>
        </w:rPr>
        <w:t xml:space="preserve">电话：     </w:t>
      </w:r>
      <w:r>
        <w:rPr>
          <w:rFonts w:hint="eastAsia" w:ascii="宋体" w:hAnsi="宋体" w:eastAsia="宋体" w:cs="宋体"/>
          <w:szCs w:val="21"/>
          <w:lang w:val="en-US" w:eastAsia="zh-CN"/>
        </w:rPr>
        <w:t xml:space="preserve">                       </w:t>
      </w:r>
      <w:r>
        <w:rPr>
          <w:rFonts w:hint="eastAsia" w:ascii="宋体" w:hAnsi="宋体" w:eastAsia="宋体" w:cs="宋体"/>
          <w:szCs w:val="21"/>
        </w:rPr>
        <w:t xml:space="preserve"> 电话：</w:t>
      </w:r>
    </w:p>
    <w:p>
      <w:pPr>
        <w:adjustRightInd w:val="0"/>
        <w:snapToGrid w:val="0"/>
        <w:spacing w:line="600" w:lineRule="auto"/>
        <w:ind w:firstLine="420" w:firstLineChars="200"/>
        <w:rPr>
          <w:rFonts w:hint="eastAsia" w:ascii="宋体" w:hAnsi="宋体" w:eastAsia="宋体" w:cs="宋体"/>
        </w:rPr>
      </w:pPr>
      <w:r>
        <w:rPr>
          <w:rFonts w:hint="eastAsia" w:ascii="宋体" w:hAnsi="宋体" w:eastAsia="宋体" w:cs="宋体"/>
          <w:szCs w:val="21"/>
        </w:rPr>
        <w:t>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w:t>
      </w:r>
      <w:r>
        <w:rPr>
          <w:rFonts w:hint="eastAsia" w:ascii="宋体" w:hAnsi="宋体" w:eastAsia="宋体" w:cs="宋体"/>
          <w:szCs w:val="21"/>
          <w:u w:val="single"/>
          <w:lang w:val="en-US" w:eastAsia="zh-CN"/>
        </w:rPr>
        <w:t xml:space="preserve"> </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 xml:space="preserve">29 </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r>
        <w:rPr>
          <w:rFonts w:hint="eastAsia" w:ascii="宋体" w:hAnsi="宋体" w:eastAsia="宋体" w:cs="宋体"/>
          <w:szCs w:val="21"/>
        </w:rPr>
        <w:t xml:space="preserve">   日期：</w:t>
      </w:r>
      <w:r>
        <w:rPr>
          <w:rFonts w:hint="eastAsia" w:ascii="宋体" w:hAnsi="宋体" w:eastAsia="宋体" w:cs="宋体"/>
          <w:szCs w:val="21"/>
          <w:u w:val="single"/>
        </w:rPr>
        <w:t xml:space="preserve">   </w:t>
      </w:r>
      <w:r>
        <w:rPr>
          <w:rFonts w:hint="eastAsia" w:ascii="宋体" w:hAnsi="宋体" w:eastAsia="宋体" w:cs="宋体"/>
          <w:szCs w:val="21"/>
          <w:u w:val="single"/>
          <w:lang w:val="en-US" w:eastAsia="zh-CN"/>
        </w:rPr>
        <w:t>2022</w:t>
      </w:r>
      <w:r>
        <w:rPr>
          <w:rFonts w:hint="eastAsia" w:ascii="宋体" w:hAnsi="宋体" w:eastAsia="宋体" w:cs="宋体"/>
          <w:szCs w:val="21"/>
          <w:u w:val="single"/>
        </w:rPr>
        <w:t xml:space="preserve">  年 </w:t>
      </w:r>
      <w:r>
        <w:rPr>
          <w:rFonts w:hint="eastAsia" w:ascii="宋体" w:hAnsi="宋体" w:eastAsia="宋体" w:cs="宋体"/>
          <w:szCs w:val="21"/>
          <w:u w:val="single"/>
          <w:lang w:val="en-US" w:eastAsia="zh-CN"/>
        </w:rPr>
        <w:t xml:space="preserve"> 8</w:t>
      </w:r>
      <w:r>
        <w:rPr>
          <w:rFonts w:hint="eastAsia" w:ascii="宋体" w:hAnsi="宋体" w:eastAsia="宋体" w:cs="宋体"/>
          <w:szCs w:val="21"/>
          <w:u w:val="single"/>
        </w:rPr>
        <w:t xml:space="preserve">  月  </w:t>
      </w:r>
      <w:r>
        <w:rPr>
          <w:rFonts w:hint="eastAsia" w:ascii="宋体" w:hAnsi="宋体" w:eastAsia="宋体" w:cs="宋体"/>
          <w:szCs w:val="21"/>
          <w:u w:val="single"/>
          <w:lang w:val="en-US" w:eastAsia="zh-CN"/>
        </w:rPr>
        <w:t>29</w:t>
      </w:r>
      <w:r>
        <w:rPr>
          <w:rFonts w:hint="eastAsia" w:ascii="宋体" w:hAnsi="宋体" w:eastAsia="宋体" w:cs="宋体"/>
          <w:szCs w:val="21"/>
          <w:u w:val="single"/>
        </w:rPr>
        <w:t xml:space="preserve">  日</w:t>
      </w:r>
      <w:r>
        <w:rPr>
          <w:rFonts w:hint="eastAsia" w:ascii="宋体" w:hAnsi="宋体" w:eastAsia="宋体" w:cs="宋体"/>
          <w:szCs w:val="21"/>
          <w:u w:val="single"/>
          <w:lang w:val="en-US" w:eastAsia="zh-CN"/>
        </w:rPr>
        <w:t xml:space="preserve"> </w:t>
      </w:r>
    </w:p>
    <w:sectPr>
      <w:pgSz w:w="11906" w:h="16838"/>
      <w:pgMar w:top="1440" w:right="1803" w:bottom="1440" w:left="1803" w:header="851" w:footer="992" w:gutter="0"/>
      <w:cols w:space="720" w:num="1"/>
      <w:docGrid w:type="linesAndChars" w:linePitch="319"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hjMmFiMTFjNzYwNmQwNmM4OGJhNzI3MDE1M2I3ZWIifQ=="/>
  </w:docVars>
  <w:rsids>
    <w:rsidRoot w:val="4CC534AD"/>
    <w:rsid w:val="00931E2E"/>
    <w:rsid w:val="02AB3D4B"/>
    <w:rsid w:val="03FA6736"/>
    <w:rsid w:val="04A667D1"/>
    <w:rsid w:val="04C05D6E"/>
    <w:rsid w:val="050A1B39"/>
    <w:rsid w:val="058709BB"/>
    <w:rsid w:val="06962ED4"/>
    <w:rsid w:val="06DB305C"/>
    <w:rsid w:val="06FA6949"/>
    <w:rsid w:val="0A6F4491"/>
    <w:rsid w:val="0A8F7AAE"/>
    <w:rsid w:val="0C37664F"/>
    <w:rsid w:val="0DBA7538"/>
    <w:rsid w:val="0F760EB9"/>
    <w:rsid w:val="0F8B500C"/>
    <w:rsid w:val="11224330"/>
    <w:rsid w:val="131D2EF4"/>
    <w:rsid w:val="13852CC2"/>
    <w:rsid w:val="150047FF"/>
    <w:rsid w:val="150A4901"/>
    <w:rsid w:val="15941CDF"/>
    <w:rsid w:val="15BE4F2F"/>
    <w:rsid w:val="16553B5F"/>
    <w:rsid w:val="173C4B1A"/>
    <w:rsid w:val="1A1E155E"/>
    <w:rsid w:val="1A3C6975"/>
    <w:rsid w:val="1B727189"/>
    <w:rsid w:val="1B7374E8"/>
    <w:rsid w:val="1B8B42C2"/>
    <w:rsid w:val="1B9B4505"/>
    <w:rsid w:val="1BA7045D"/>
    <w:rsid w:val="1CB4115D"/>
    <w:rsid w:val="1EF45B31"/>
    <w:rsid w:val="1F2A0E82"/>
    <w:rsid w:val="1F82787C"/>
    <w:rsid w:val="20AB7B9C"/>
    <w:rsid w:val="21B70C4B"/>
    <w:rsid w:val="21B77DE1"/>
    <w:rsid w:val="224673AD"/>
    <w:rsid w:val="254E25E8"/>
    <w:rsid w:val="257D5B7D"/>
    <w:rsid w:val="267B033E"/>
    <w:rsid w:val="269A5A41"/>
    <w:rsid w:val="27AF7ECC"/>
    <w:rsid w:val="27EC45BA"/>
    <w:rsid w:val="28A06791"/>
    <w:rsid w:val="2A41062F"/>
    <w:rsid w:val="2A555758"/>
    <w:rsid w:val="2C425F6B"/>
    <w:rsid w:val="2C7C40A9"/>
    <w:rsid w:val="2DD0518E"/>
    <w:rsid w:val="2DE80212"/>
    <w:rsid w:val="2E1F22C2"/>
    <w:rsid w:val="316118C9"/>
    <w:rsid w:val="32F40966"/>
    <w:rsid w:val="34416B52"/>
    <w:rsid w:val="344B390F"/>
    <w:rsid w:val="34EF41BD"/>
    <w:rsid w:val="37F32639"/>
    <w:rsid w:val="388B0A4F"/>
    <w:rsid w:val="39A26DC7"/>
    <w:rsid w:val="39F313FD"/>
    <w:rsid w:val="3A4072B5"/>
    <w:rsid w:val="3C2A73D1"/>
    <w:rsid w:val="3C7A562D"/>
    <w:rsid w:val="3C83190D"/>
    <w:rsid w:val="3CD27ED4"/>
    <w:rsid w:val="3CD750E6"/>
    <w:rsid w:val="3D2F28A7"/>
    <w:rsid w:val="3E894239"/>
    <w:rsid w:val="3F4563B2"/>
    <w:rsid w:val="3F947C72"/>
    <w:rsid w:val="40A87715"/>
    <w:rsid w:val="40F63E08"/>
    <w:rsid w:val="41585655"/>
    <w:rsid w:val="42331CC0"/>
    <w:rsid w:val="42D42C26"/>
    <w:rsid w:val="435541C8"/>
    <w:rsid w:val="44461776"/>
    <w:rsid w:val="45F52AE7"/>
    <w:rsid w:val="46E21856"/>
    <w:rsid w:val="488D0539"/>
    <w:rsid w:val="499C12C5"/>
    <w:rsid w:val="4AE069C8"/>
    <w:rsid w:val="4BAF2C6A"/>
    <w:rsid w:val="4C341C88"/>
    <w:rsid w:val="4C511BFE"/>
    <w:rsid w:val="4CC534AD"/>
    <w:rsid w:val="4DE27BCF"/>
    <w:rsid w:val="4E07250D"/>
    <w:rsid w:val="4E630603"/>
    <w:rsid w:val="4E8E7F21"/>
    <w:rsid w:val="4F2764C5"/>
    <w:rsid w:val="4F36126D"/>
    <w:rsid w:val="4F6E3BB0"/>
    <w:rsid w:val="4FC9047D"/>
    <w:rsid w:val="50EA35DF"/>
    <w:rsid w:val="518E0BE4"/>
    <w:rsid w:val="52232583"/>
    <w:rsid w:val="540F010F"/>
    <w:rsid w:val="54225B63"/>
    <w:rsid w:val="54482C89"/>
    <w:rsid w:val="561A162C"/>
    <w:rsid w:val="565060B6"/>
    <w:rsid w:val="567445FB"/>
    <w:rsid w:val="56836B41"/>
    <w:rsid w:val="588028B4"/>
    <w:rsid w:val="590D4488"/>
    <w:rsid w:val="59583E8A"/>
    <w:rsid w:val="5A7B4CD9"/>
    <w:rsid w:val="5CC40ECB"/>
    <w:rsid w:val="5DCD15E8"/>
    <w:rsid w:val="5E810D50"/>
    <w:rsid w:val="5EDA046D"/>
    <w:rsid w:val="5F167D32"/>
    <w:rsid w:val="5F5664FE"/>
    <w:rsid w:val="604B1226"/>
    <w:rsid w:val="62552F14"/>
    <w:rsid w:val="67852B9B"/>
    <w:rsid w:val="67D12641"/>
    <w:rsid w:val="67FD0BD9"/>
    <w:rsid w:val="67FE7C6D"/>
    <w:rsid w:val="686B0825"/>
    <w:rsid w:val="688D2C3B"/>
    <w:rsid w:val="68A3089A"/>
    <w:rsid w:val="693375EE"/>
    <w:rsid w:val="695D3CD4"/>
    <w:rsid w:val="6A397B67"/>
    <w:rsid w:val="6AEB0B1F"/>
    <w:rsid w:val="6B0C63F2"/>
    <w:rsid w:val="6C1C7FD0"/>
    <w:rsid w:val="6D2E78EB"/>
    <w:rsid w:val="6D947D96"/>
    <w:rsid w:val="6F137BB5"/>
    <w:rsid w:val="6F474B07"/>
    <w:rsid w:val="6FB65C69"/>
    <w:rsid w:val="6FE332E4"/>
    <w:rsid w:val="6FFF7D63"/>
    <w:rsid w:val="70AD5DFC"/>
    <w:rsid w:val="70EB10A6"/>
    <w:rsid w:val="7129356D"/>
    <w:rsid w:val="722642DD"/>
    <w:rsid w:val="72FF50E9"/>
    <w:rsid w:val="73887FDB"/>
    <w:rsid w:val="75192A4C"/>
    <w:rsid w:val="770555B0"/>
    <w:rsid w:val="77C7475D"/>
    <w:rsid w:val="795363F1"/>
    <w:rsid w:val="7A3243A8"/>
    <w:rsid w:val="7A5A276E"/>
    <w:rsid w:val="7CB0011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59"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仿宋" w:cs="Times New Roman"/>
      <w:kern w:val="2"/>
      <w:sz w:val="21"/>
      <w:szCs w:val="24"/>
      <w:lang w:val="en-US" w:eastAsia="zh-CN" w:bidi="ar-SA"/>
    </w:rPr>
  </w:style>
  <w:style w:type="paragraph" w:styleId="4">
    <w:name w:val="heading 1"/>
    <w:basedOn w:val="1"/>
    <w:next w:val="1"/>
    <w:link w:val="12"/>
    <w:qFormat/>
    <w:uiPriority w:val="0"/>
    <w:pPr>
      <w:keepNext/>
      <w:keepLines/>
      <w:spacing w:before="220" w:after="210" w:line="360" w:lineRule="auto"/>
      <w:outlineLvl w:val="0"/>
    </w:pPr>
    <w:rPr>
      <w:b/>
      <w:kern w:val="44"/>
      <w:sz w:val="44"/>
    </w:rPr>
  </w:style>
  <w:style w:type="paragraph" w:styleId="5">
    <w:name w:val="heading 2"/>
    <w:basedOn w:val="6"/>
    <w:next w:val="1"/>
    <w:link w:val="13"/>
    <w:semiHidden/>
    <w:unhideWhenUsed/>
    <w:qFormat/>
    <w:uiPriority w:val="0"/>
    <w:pPr>
      <w:keepNext/>
      <w:keepLines/>
      <w:spacing w:before="140" w:after="140" w:line="240" w:lineRule="auto"/>
      <w:jc w:val="center"/>
      <w:outlineLvl w:val="1"/>
    </w:pPr>
    <w:rPr>
      <w:rFonts w:ascii="Arial" w:hAnsi="Arial" w:cs="Courier New"/>
      <w:b/>
      <w:sz w:val="32"/>
      <w:szCs w:val="21"/>
    </w:rPr>
  </w:style>
  <w:style w:type="paragraph" w:styleId="7">
    <w:name w:val="heading 3"/>
    <w:basedOn w:val="1"/>
    <w:next w:val="1"/>
    <w:link w:val="14"/>
    <w:semiHidden/>
    <w:unhideWhenUsed/>
    <w:qFormat/>
    <w:uiPriority w:val="0"/>
    <w:pPr>
      <w:keepNext/>
      <w:keepLines/>
      <w:spacing w:before="260" w:beforeLines="0" w:beforeAutospacing="0" w:after="260" w:afterLines="0" w:afterAutospacing="0" w:line="413" w:lineRule="auto"/>
      <w:outlineLvl w:val="2"/>
    </w:pPr>
    <w:rPr>
      <w:b/>
      <w:sz w:val="28"/>
    </w:rPr>
  </w:style>
  <w:style w:type="paragraph" w:styleId="8">
    <w:name w:val="heading 4"/>
    <w:basedOn w:val="1"/>
    <w:next w:val="1"/>
    <w:semiHidden/>
    <w:unhideWhenUsed/>
    <w:qFormat/>
    <w:uiPriority w:val="0"/>
    <w:pPr>
      <w:keepNext/>
      <w:keepLines/>
      <w:outlineLvl w:val="3"/>
    </w:pPr>
    <w:rPr>
      <w:rFonts w:ascii="Arial" w:hAnsi="Arial" w:eastAsia="宋体"/>
      <w:bCs/>
      <w:kern w:val="0"/>
      <w:szCs w:val="28"/>
    </w:rPr>
  </w:style>
  <w:style w:type="character" w:default="1" w:styleId="11">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Body Text First Indent"/>
    <w:basedOn w:val="3"/>
    <w:qFormat/>
    <w:uiPriority w:val="99"/>
    <w:pPr>
      <w:ind w:firstLine="420" w:firstLineChars="100"/>
    </w:pPr>
  </w:style>
  <w:style w:type="paragraph" w:styleId="3">
    <w:name w:val="Body Text"/>
    <w:basedOn w:val="1"/>
    <w:next w:val="1"/>
    <w:qFormat/>
    <w:uiPriority w:val="0"/>
    <w:pPr>
      <w:spacing w:after="120" w:afterLines="0" w:afterAutospacing="0"/>
    </w:pPr>
  </w:style>
  <w:style w:type="paragraph" w:styleId="6">
    <w:name w:val="Plain Text"/>
    <w:basedOn w:val="1"/>
    <w:qFormat/>
    <w:uiPriority w:val="0"/>
    <w:rPr>
      <w:rFonts w:ascii="宋体" w:hAnsi="Courier New"/>
    </w:rPr>
  </w:style>
  <w:style w:type="table" w:styleId="10">
    <w:name w:val="Table Grid"/>
    <w:basedOn w:val="9"/>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2">
    <w:name w:val="标题 1 Char"/>
    <w:link w:val="4"/>
    <w:qFormat/>
    <w:uiPriority w:val="0"/>
    <w:rPr>
      <w:rFonts w:ascii="Times New Roman" w:hAnsi="Times New Roman" w:eastAsia="宋体" w:cs="Times New Roman"/>
      <w:b/>
      <w:bCs/>
      <w:kern w:val="44"/>
      <w:sz w:val="52"/>
      <w:szCs w:val="52"/>
    </w:rPr>
  </w:style>
  <w:style w:type="character" w:customStyle="1" w:styleId="13">
    <w:name w:val="标题 2 Char"/>
    <w:link w:val="5"/>
    <w:qFormat/>
    <w:uiPriority w:val="0"/>
    <w:rPr>
      <w:rFonts w:ascii="Arial" w:hAnsi="Arial" w:eastAsia="宋体" w:cs="Courier New"/>
      <w:b/>
      <w:bCs/>
      <w:sz w:val="32"/>
      <w:szCs w:val="21"/>
    </w:rPr>
  </w:style>
  <w:style w:type="character" w:customStyle="1" w:styleId="14">
    <w:name w:val="标题 3 Char"/>
    <w:link w:val="7"/>
    <w:qFormat/>
    <w:uiPriority w:val="0"/>
    <w:rPr>
      <w:rFonts w:eastAsia="宋体"/>
      <w:b/>
      <w:sz w:val="28"/>
    </w:rPr>
  </w:style>
  <w:style w:type="character" w:customStyle="1" w:styleId="15">
    <w:name w:val="NormalCharacter"/>
    <w:semiHidden/>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1064</Words>
  <Characters>1119</Characters>
  <Lines>0</Lines>
  <Paragraphs>0</Paragraphs>
  <TotalTime>5</TotalTime>
  <ScaleCrop>false</ScaleCrop>
  <LinksUpToDate>false</LinksUpToDate>
  <CharactersWithSpaces>1418</CharactersWithSpaces>
  <Application>WPS Office_11.1.0.12358_F1E327BC-269C-435d-A152-05C5408002CA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2021-02-02T00:15:00Z</dcterms:created>
  <dc:creator>空白</dc:creator>
  <cp:lastModifiedBy>空白</cp:lastModifiedBy>
  <cp:lastPrinted>2022-03-18T07:56:00Z</cp:lastPrinted>
  <dcterms:modified xsi:type="dcterms:W3CDTF">2022-10-09T08:31:22Z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2052-11.1.0.12358</vt:lpwstr>
  </property>
  <property fmtid="{D5CDD505-2E9C-101B-9397-08002B2CF9AE}" pid="3" name="ICV">
    <vt:lpwstr>CC439A49E96846899EC5A7F3DFAA14E2</vt:lpwstr>
  </property>
</Properties>
</file>