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44"/>
          <w:szCs w:val="44"/>
        </w:rPr>
      </w:pPr>
      <w:bookmarkStart w:id="0" w:name="_Toc11644_WPSOffice_Level1"/>
      <w:bookmarkStart w:id="1" w:name="_Toc7832_WPSOffice_Level1"/>
      <w:r>
        <w:rPr>
          <w:rFonts w:hint="eastAsia" w:ascii="宋体" w:hAnsi="宋体" w:eastAsia="宋体" w:cs="宋体"/>
          <w:b/>
          <w:bCs/>
          <w:sz w:val="44"/>
          <w:szCs w:val="44"/>
        </w:rPr>
        <w:t>政府采购合同</w:t>
      </w:r>
      <w:bookmarkEnd w:id="0"/>
      <w:bookmarkEnd w:id="1"/>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政府采购合同编号：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签订地点：</w:t>
      </w:r>
    </w:p>
    <w:p>
      <w:pPr>
        <w:adjustRightInd w:val="0"/>
        <w:snapToGrid w:val="0"/>
        <w:spacing w:line="360" w:lineRule="auto"/>
        <w:ind w:firstLine="640"/>
        <w:jc w:val="left"/>
        <w:rPr>
          <w:rFonts w:hint="eastAsia" w:ascii="宋体" w:hAnsi="宋体" w:eastAsia="宋体" w:cs="宋体"/>
          <w:szCs w:val="21"/>
        </w:rPr>
      </w:pPr>
      <w:r>
        <w:rPr>
          <w:rFonts w:hint="eastAsia" w:ascii="宋体" w:hAnsi="宋体" w:eastAsia="宋体" w:cs="宋体"/>
          <w:szCs w:val="21"/>
          <w:u w:val="single"/>
        </w:rPr>
        <w:t xml:space="preserve"> </w:t>
      </w:r>
      <w:r>
        <w:rPr>
          <w:rStyle w:val="14"/>
          <w:rFonts w:hint="eastAsia" w:ascii="宋体" w:hAnsi="宋体" w:eastAsia="宋体" w:cs="宋体"/>
          <w:szCs w:val="21"/>
          <w:u w:val="single"/>
          <w:lang w:eastAsia="zh-CN"/>
        </w:rPr>
        <w:t>溪湖区疾病预防控制中心（溪湖区妇幼保健计划生育服务中心）</w:t>
      </w:r>
      <w:r>
        <w:rPr>
          <w:rFonts w:hint="eastAsia" w:ascii="宋体" w:hAnsi="宋体" w:eastAsia="宋体" w:cs="宋体"/>
          <w:szCs w:val="21"/>
          <w:u w:val="single"/>
        </w:rPr>
        <w:t xml:space="preserve"> (需方名称) </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（以下简称需方）和</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辽宁山水医疗科技有限公司</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(供方名称)  </w:t>
      </w:r>
      <w:r>
        <w:rPr>
          <w:rFonts w:hint="eastAsia" w:ascii="宋体" w:hAnsi="宋体" w:eastAsia="宋体" w:cs="宋体"/>
          <w:szCs w:val="21"/>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2" w:name="_Toc13230_WPSOffice_Level2"/>
      <w:r>
        <w:rPr>
          <w:rFonts w:hint="eastAsia" w:ascii="宋体" w:hAnsi="宋体" w:eastAsia="宋体" w:cs="宋体"/>
          <w:b/>
          <w:szCs w:val="21"/>
        </w:rPr>
        <w:t>一、政府采购合同文件</w:t>
      </w:r>
      <w:bookmarkEnd w:id="2"/>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本政府采购合同所附下列文件是构成本政府采购合同不可分割的部分：</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1.招标文件（招标文件编号）；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2.招标文件的更正公告、变更公告；</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3.中标人提交的投标文件；</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4.政府采购合同条款；</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5.中标通知书；</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6.政府采购合同的其它附件。</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3" w:name="_Toc19527_WPSOffice_Level2"/>
      <w:r>
        <w:rPr>
          <w:rFonts w:hint="eastAsia" w:ascii="宋体" w:hAnsi="宋体" w:eastAsia="宋体" w:cs="宋体"/>
          <w:b/>
          <w:szCs w:val="21"/>
        </w:rPr>
        <w:t>二、政府采购合同范围和条件</w:t>
      </w:r>
      <w:bookmarkEnd w:id="3"/>
      <w:bookmarkStart w:id="12" w:name="_GoBack"/>
      <w:bookmarkEnd w:id="12"/>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本政府采购合同的范围和条件与上述政府采购合同文件的规定相一致。</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4" w:name="_Toc18050_WPSOffice_Level2"/>
      <w:r>
        <w:rPr>
          <w:rFonts w:hint="eastAsia" w:ascii="宋体" w:hAnsi="宋体" w:eastAsia="宋体" w:cs="宋体"/>
          <w:b/>
          <w:szCs w:val="21"/>
        </w:rPr>
        <w:t>三、政府采购合同标的</w:t>
      </w:r>
      <w:bookmarkEnd w:id="4"/>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本政府采购合同的标的为招标文件中所列货物及相关服务。</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5" w:name="_Toc27886_WPSOffice_Level2"/>
      <w:r>
        <w:rPr>
          <w:rFonts w:hint="eastAsia" w:ascii="宋体" w:hAnsi="宋体" w:eastAsia="宋体" w:cs="宋体"/>
          <w:b/>
          <w:szCs w:val="21"/>
        </w:rPr>
        <w:t>四、政府采购合同金额</w:t>
      </w:r>
      <w:bookmarkEnd w:id="5"/>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根据上述政府采购合同文件要求，政府采购合同的总金额为人民币</w:t>
      </w:r>
      <w:r>
        <w:rPr>
          <w:rFonts w:hint="eastAsia" w:ascii="宋体" w:hAnsi="宋体" w:eastAsia="宋体" w:cs="宋体"/>
          <w:szCs w:val="21"/>
          <w:u w:val="single"/>
        </w:rPr>
        <w:t xml:space="preserve">  （大写）</w:t>
      </w:r>
      <w:r>
        <w:rPr>
          <w:rFonts w:hint="eastAsia" w:ascii="宋体" w:hAnsi="宋体" w:eastAsia="宋体" w:cs="宋体"/>
          <w:szCs w:val="21"/>
          <w:u w:val="single"/>
          <w:lang w:val="en-US" w:eastAsia="zh-CN"/>
        </w:rPr>
        <w:t xml:space="preserve"> 陆万肆仟</w:t>
      </w:r>
      <w:r>
        <w:rPr>
          <w:rFonts w:hint="eastAsia" w:ascii="宋体" w:hAnsi="宋体" w:eastAsia="宋体" w:cs="宋体"/>
          <w:szCs w:val="21"/>
          <w:highlight w:val="none"/>
          <w:u w:val="single"/>
          <w:lang w:val="en-US" w:eastAsia="zh-CN"/>
        </w:rPr>
        <w:t>元整</w:t>
      </w:r>
      <w:r>
        <w:rPr>
          <w:rFonts w:hint="eastAsia" w:ascii="宋体" w:hAnsi="宋体" w:eastAsia="宋体" w:cs="宋体"/>
          <w:szCs w:val="21"/>
          <w:u w:val="single"/>
        </w:rPr>
        <w:t xml:space="preserve">  </w:t>
      </w:r>
      <w:r>
        <w:rPr>
          <w:rFonts w:hint="eastAsia" w:ascii="宋体" w:hAnsi="宋体" w:eastAsia="宋体" w:cs="宋体"/>
          <w:szCs w:val="21"/>
        </w:rPr>
        <w:t xml:space="preserve"> 元。</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注：存在分项产品的必须清晰列明分项产品明细，包括名称、数量、分项报价等，并作为合同组成部分。</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6" w:name="_Toc22211_WPSOffice_Level2"/>
      <w:r>
        <w:rPr>
          <w:rFonts w:hint="eastAsia" w:ascii="宋体" w:hAnsi="宋体" w:eastAsia="宋体" w:cs="宋体"/>
          <w:b/>
          <w:szCs w:val="21"/>
        </w:rPr>
        <w:t>五、付款方式及条件</w:t>
      </w:r>
      <w:bookmarkEnd w:id="6"/>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货到验收合格后</w:t>
      </w:r>
      <w:r>
        <w:rPr>
          <w:rFonts w:hint="eastAsia" w:ascii="宋体" w:hAnsi="宋体" w:eastAsia="宋体" w:cs="宋体"/>
          <w:szCs w:val="21"/>
          <w:lang w:val="en-US" w:eastAsia="zh-CN"/>
        </w:rPr>
        <w:t>一次性支付合同金额的10</w:t>
      </w:r>
      <w:r>
        <w:rPr>
          <w:rFonts w:hint="eastAsia" w:ascii="宋体" w:hAnsi="宋体" w:eastAsia="宋体" w:cs="宋体"/>
          <w:szCs w:val="21"/>
        </w:rPr>
        <w:t>0</w:t>
      </w:r>
      <w:r>
        <w:rPr>
          <w:rFonts w:hint="cs" w:ascii="宋体" w:hAnsi="宋体" w:eastAsia="宋体" w:cs="宋体"/>
          <w:szCs w:val="21"/>
          <w:cs/>
        </w:rPr>
        <w:t>%</w:t>
      </w:r>
      <w:r>
        <w:rPr>
          <w:rFonts w:hint="eastAsia" w:ascii="宋体" w:hAnsi="宋体" w:eastAsia="宋体" w:cs="宋体"/>
          <w:szCs w:val="21"/>
        </w:rPr>
        <w:t>。</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b/>
          <w:szCs w:val="21"/>
        </w:rPr>
        <w:t>　　</w:t>
      </w:r>
      <w:bookmarkStart w:id="7" w:name="_Toc27813_WPSOffice_Level2"/>
      <w:r>
        <w:rPr>
          <w:rFonts w:hint="eastAsia" w:ascii="宋体" w:hAnsi="宋体" w:eastAsia="宋体" w:cs="宋体"/>
          <w:b/>
          <w:szCs w:val="21"/>
        </w:rPr>
        <w:t>六、交货时间和交货地点</w:t>
      </w:r>
      <w:bookmarkEnd w:id="7"/>
    </w:p>
    <w:p>
      <w:pPr>
        <w:adjustRightInd w:val="0"/>
        <w:snapToGrid w:val="0"/>
        <w:spacing w:line="360" w:lineRule="auto"/>
        <w:jc w:val="left"/>
        <w:rPr>
          <w:rFonts w:hint="default" w:ascii="宋体" w:hAnsi="宋体" w:eastAsia="宋体" w:cs="宋体"/>
          <w:szCs w:val="21"/>
          <w:u w:val="single"/>
          <w:lang w:val="en-US" w:eastAsia="zh-CN"/>
        </w:rPr>
      </w:pPr>
      <w:r>
        <w:rPr>
          <w:rFonts w:hint="eastAsia" w:ascii="宋体" w:hAnsi="宋体" w:eastAsia="宋体" w:cs="宋体"/>
          <w:szCs w:val="21"/>
        </w:rPr>
        <w:t xml:space="preserve">    1.交货时间：</w:t>
      </w:r>
      <w:r>
        <w:rPr>
          <w:rFonts w:hint="eastAsia" w:ascii="宋体" w:hAnsi="宋体" w:eastAsia="宋体" w:cs="宋体"/>
          <w:szCs w:val="21"/>
          <w:lang w:val="en-US" w:eastAsia="zh-CN"/>
        </w:rPr>
        <w:t>合同签订后7-10个工作日</w:t>
      </w:r>
    </w:p>
    <w:p>
      <w:pPr>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rPr>
        <w:t xml:space="preserve">    2.交货地点：</w:t>
      </w:r>
      <w:r>
        <w:rPr>
          <w:rFonts w:hint="eastAsia" w:ascii="宋体" w:hAnsi="宋体" w:eastAsia="宋体" w:cs="宋体"/>
          <w:szCs w:val="21"/>
          <w:lang w:eastAsia="zh-CN"/>
        </w:rPr>
        <w:t>溪湖区疾病预防控制中心（溪湖区妇幼保健计划生育服务中心）（本溪市溪湖区）</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8" w:name="_Toc12497_WPSOffice_Level2"/>
      <w:r>
        <w:rPr>
          <w:rFonts w:hint="eastAsia" w:ascii="宋体" w:hAnsi="宋体" w:eastAsia="宋体" w:cs="宋体"/>
          <w:b/>
          <w:szCs w:val="21"/>
        </w:rPr>
        <w:t>七、验收要求</w:t>
      </w:r>
      <w:bookmarkEnd w:id="8"/>
    </w:p>
    <w:p>
      <w:pPr>
        <w:adjustRightInd w:val="0"/>
        <w:snapToGrid w:val="0"/>
        <w:spacing w:line="360" w:lineRule="auto"/>
        <w:jc w:val="left"/>
        <w:rPr>
          <w:rFonts w:hint="eastAsia" w:ascii="宋体" w:hAnsi="宋体" w:eastAsia="宋体" w:cs="宋体"/>
          <w:szCs w:val="21"/>
          <w:u w:val="single"/>
        </w:rPr>
      </w:pPr>
      <w:r>
        <w:rPr>
          <w:rFonts w:hint="eastAsia" w:ascii="宋体" w:hAnsi="宋体" w:eastAsia="宋体" w:cs="宋体"/>
          <w:szCs w:val="21"/>
        </w:rPr>
        <w:t>供方完全履行合同义务后，需方或需方的最终用户按照上述政府采购合同文件列明的标准进行验收，验收不合格的，供方需按照第八条第2款的约定承担相应违约责任。</w:t>
      </w:r>
    </w:p>
    <w:p>
      <w:pPr>
        <w:adjustRightInd w:val="0"/>
        <w:snapToGrid w:val="0"/>
        <w:spacing w:line="360" w:lineRule="auto"/>
        <w:ind w:firstLine="420" w:firstLineChars="200"/>
        <w:jc w:val="left"/>
        <w:rPr>
          <w:rFonts w:hint="eastAsia" w:ascii="宋体" w:hAnsi="宋体" w:eastAsia="宋体" w:cs="宋体"/>
          <w:b/>
          <w:szCs w:val="21"/>
        </w:rPr>
      </w:pPr>
      <w:bookmarkStart w:id="9" w:name="_Toc4868_WPSOffice_Level2"/>
      <w:r>
        <w:rPr>
          <w:rFonts w:hint="eastAsia" w:ascii="宋体" w:hAnsi="宋体" w:eastAsia="宋体" w:cs="宋体"/>
          <w:b/>
          <w:szCs w:val="21"/>
        </w:rPr>
        <w:t>八、违约责任</w:t>
      </w:r>
      <w:bookmarkEnd w:id="9"/>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3.需方逾期付款的，每逾期一天向供方支付逾期金额%的违约金，逾期日的，供方有权单方面解除本协议。</w:t>
      </w:r>
    </w:p>
    <w:p>
      <w:pPr>
        <w:adjustRightInd w:val="0"/>
        <w:snapToGrid w:val="0"/>
        <w:spacing w:line="360" w:lineRule="auto"/>
        <w:ind w:firstLine="420" w:firstLineChars="200"/>
        <w:jc w:val="left"/>
        <w:rPr>
          <w:rFonts w:hint="eastAsia" w:ascii="宋体" w:hAnsi="宋体" w:eastAsia="宋体" w:cs="宋体"/>
          <w:b/>
          <w:szCs w:val="21"/>
        </w:rPr>
      </w:pPr>
      <w:bookmarkStart w:id="10" w:name="_Toc24496_WPSOffice_Level2"/>
      <w:r>
        <w:rPr>
          <w:rFonts w:hint="eastAsia" w:ascii="宋体" w:hAnsi="宋体" w:eastAsia="宋体" w:cs="宋体"/>
          <w:b/>
          <w:szCs w:val="21"/>
        </w:rPr>
        <w:t>九、争议解决</w:t>
      </w:r>
      <w:bookmarkEnd w:id="10"/>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rPr>
        <w:t xml:space="preserve">    双方因履行本协议而产生的争议，应友好协商解决，协商不成的，任何一方可向需方所在地的人民法院提起诉讼。</w:t>
      </w:r>
    </w:p>
    <w:p>
      <w:pPr>
        <w:adjustRightInd w:val="0"/>
        <w:snapToGrid w:val="0"/>
        <w:spacing w:line="360" w:lineRule="auto"/>
        <w:ind w:firstLine="420" w:firstLineChars="200"/>
        <w:jc w:val="left"/>
        <w:rPr>
          <w:rFonts w:hint="eastAsia" w:ascii="宋体" w:hAnsi="宋体" w:eastAsia="宋体" w:cs="宋体"/>
          <w:b/>
          <w:szCs w:val="21"/>
        </w:rPr>
      </w:pPr>
      <w:bookmarkStart w:id="11" w:name="_Toc24974_WPSOffice_Level2"/>
      <w:r>
        <w:rPr>
          <w:rFonts w:hint="eastAsia" w:ascii="宋体" w:hAnsi="宋体" w:eastAsia="宋体" w:cs="宋体"/>
          <w:b/>
          <w:szCs w:val="21"/>
        </w:rPr>
        <w:t>十、合同生效</w:t>
      </w:r>
      <w:bookmarkEnd w:id="11"/>
    </w:p>
    <w:p>
      <w:pPr>
        <w:adjustRightInd w:val="0"/>
        <w:snapToGrid w:val="0"/>
        <w:spacing w:line="600" w:lineRule="auto"/>
        <w:jc w:val="left"/>
        <w:rPr>
          <w:rFonts w:hint="eastAsia" w:ascii="宋体" w:hAnsi="宋体" w:eastAsia="宋体" w:cs="宋体"/>
          <w:szCs w:val="21"/>
        </w:rPr>
      </w:pPr>
      <w:r>
        <w:rPr>
          <w:rFonts w:hint="eastAsia" w:ascii="宋体" w:hAnsi="宋体" w:eastAsia="宋体" w:cs="宋体"/>
          <w:szCs w:val="21"/>
        </w:rPr>
        <w:t xml:space="preserve">    本政府采购合同经双方授权代表签字盖章后生效。</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需方（公章）:                      供方(公章):</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法定代表人或授权代表人(签字):      法定代表人或授权代表人(签字):</w:t>
      </w:r>
    </w:p>
    <w:p>
      <w:pPr>
        <w:adjustRightInd w:val="0"/>
        <w:snapToGrid w:val="0"/>
        <w:spacing w:line="600" w:lineRule="auto"/>
        <w:ind w:left="4830" w:leftChars="200" w:hanging="4410" w:hangingChars="2100"/>
        <w:rPr>
          <w:rFonts w:hint="eastAsia" w:ascii="宋体" w:hAnsi="宋体" w:eastAsia="宋体" w:cs="宋体"/>
          <w:szCs w:val="21"/>
          <w:u w:val="single"/>
        </w:rPr>
      </w:pPr>
      <w:r>
        <w:rPr>
          <w:rFonts w:hint="eastAsia" w:ascii="宋体" w:hAnsi="宋体" w:eastAsia="宋体" w:cs="宋体"/>
          <w:szCs w:val="21"/>
        </w:rPr>
        <w:t xml:space="preserve">地址：     </w:t>
      </w:r>
      <w:r>
        <w:rPr>
          <w:rFonts w:hint="eastAsia" w:ascii="宋体" w:hAnsi="宋体" w:eastAsia="宋体" w:cs="宋体"/>
          <w:szCs w:val="21"/>
          <w:lang w:val="en-US" w:eastAsia="zh-CN"/>
        </w:rPr>
        <w:t xml:space="preserve">                        </w:t>
      </w:r>
      <w:r>
        <w:rPr>
          <w:rFonts w:hint="eastAsia" w:ascii="宋体" w:hAnsi="宋体" w:eastAsia="宋体" w:cs="宋体"/>
          <w:szCs w:val="21"/>
        </w:rPr>
        <w:t>地址：</w:t>
      </w:r>
    </w:p>
    <w:p>
      <w:pPr>
        <w:adjustRightInd w:val="0"/>
        <w:snapToGrid w:val="0"/>
        <w:spacing w:line="60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rPr>
        <w:t xml:space="preserve">联系人：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联系人：</w:t>
      </w:r>
    </w:p>
    <w:p>
      <w:pPr>
        <w:adjustRightInd w:val="0"/>
        <w:snapToGrid w:val="0"/>
        <w:spacing w:line="600" w:lineRule="auto"/>
        <w:ind w:firstLine="420" w:firstLineChars="200"/>
        <w:rPr>
          <w:rFonts w:hint="eastAsia" w:ascii="宋体" w:hAnsi="宋体" w:eastAsia="宋体" w:cs="宋体"/>
          <w:szCs w:val="21"/>
          <w:u w:val="single"/>
          <w:lang w:val="en-US" w:eastAsia="zh-CN"/>
        </w:rPr>
      </w:pPr>
      <w:r>
        <w:rPr>
          <w:rFonts w:hint="eastAsia" w:ascii="宋体" w:hAnsi="宋体" w:eastAsia="宋体" w:cs="宋体"/>
          <w:szCs w:val="21"/>
        </w:rPr>
        <w:t xml:space="preserve">电话：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电话：</w:t>
      </w:r>
    </w:p>
    <w:p>
      <w:pPr>
        <w:adjustRightInd w:val="0"/>
        <w:snapToGrid w:val="0"/>
        <w:spacing w:line="600" w:lineRule="auto"/>
        <w:ind w:firstLine="420" w:firstLineChars="200"/>
        <w:rPr>
          <w:rFonts w:hint="eastAsia" w:asciiTheme="minorEastAsia" w:hAnsiTheme="minorEastAsia" w:eastAsiaTheme="minorEastAsia" w:cstheme="minorEastAsia"/>
          <w:szCs w:val="21"/>
          <w:u w:val="single"/>
          <w:lang w:val="en-US"/>
        </w:rPr>
      </w:pPr>
      <w:r>
        <w:rPr>
          <w:rFonts w:hint="eastAsia" w:ascii="宋体" w:hAnsi="宋体" w:eastAsia="宋体" w:cs="宋体"/>
          <w:szCs w:val="21"/>
        </w:rPr>
        <w:t>日期：</w:t>
      </w:r>
      <w:r>
        <w:rPr>
          <w:rFonts w:hint="eastAsia" w:ascii="宋体" w:hAnsi="宋体" w:eastAsia="宋体" w:cs="宋体"/>
          <w:szCs w:val="21"/>
          <w:u w:val="single"/>
        </w:rPr>
        <w:t xml:space="preserve">      年      月      日</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日期：</w:t>
      </w:r>
      <w:r>
        <w:rPr>
          <w:rFonts w:hint="eastAsia" w:ascii="宋体" w:hAnsi="宋体" w:eastAsia="宋体" w:cs="宋体"/>
          <w:szCs w:val="21"/>
          <w:u w:val="single"/>
        </w:rPr>
        <w:t xml:space="preserve">       年      月      日</w:t>
      </w:r>
      <w:r>
        <w:rPr>
          <w:rFonts w:hint="eastAsia" w:ascii="宋体" w:hAnsi="宋体" w:eastAsia="宋体" w:cs="宋体"/>
          <w:szCs w:val="21"/>
          <w:u w:val="single"/>
          <w:lang w:val="en-US" w:eastAsia="zh-CN"/>
        </w:rPr>
        <w:t xml:space="preserve"> </w:t>
      </w:r>
    </w:p>
    <w:p>
      <w:pPr>
        <w:adjustRightInd w:val="0"/>
        <w:snapToGrid w:val="0"/>
        <w:spacing w:line="360" w:lineRule="auto"/>
        <w:ind w:firstLine="420" w:firstLineChars="200"/>
        <w:rPr>
          <w:rFonts w:hint="eastAsia" w:ascii="宋体" w:hAnsi="宋体" w:eastAsia="宋体" w:cs="宋体"/>
          <w:szCs w:val="21"/>
          <w:u w:val="single"/>
        </w:rPr>
      </w:pPr>
    </w:p>
    <w:p>
      <w:pPr>
        <w:adjustRightInd w:val="0"/>
        <w:snapToGrid w:val="0"/>
        <w:spacing w:line="360" w:lineRule="auto"/>
        <w:ind w:firstLine="420" w:firstLineChars="200"/>
        <w:rPr>
          <w:rFonts w:hint="eastAsia" w:ascii="宋体" w:hAnsi="宋体" w:eastAsia="宋体" w:cs="宋体"/>
          <w:szCs w:val="21"/>
          <w:u w:val="single"/>
        </w:rPr>
      </w:pPr>
    </w:p>
    <w:p>
      <w:pPr>
        <w:adjustRightInd w:val="0"/>
        <w:snapToGrid w:val="0"/>
        <w:spacing w:line="360" w:lineRule="auto"/>
        <w:ind w:firstLine="420" w:firstLineChars="200"/>
        <w:rPr>
          <w:rFonts w:hint="eastAsia" w:ascii="宋体" w:hAnsi="宋体" w:eastAsia="宋体" w:cs="宋体"/>
          <w:szCs w:val="21"/>
          <w:u w:val="single"/>
        </w:rPr>
      </w:pPr>
    </w:p>
    <w:p>
      <w:pPr>
        <w:adjustRightInd w:val="0"/>
        <w:snapToGrid w:val="0"/>
        <w:spacing w:line="360" w:lineRule="auto"/>
        <w:ind w:firstLine="420" w:firstLineChars="200"/>
        <w:rPr>
          <w:rFonts w:hint="eastAsia" w:ascii="宋体" w:hAnsi="宋体" w:eastAsia="宋体" w:cs="宋体"/>
          <w:szCs w:val="21"/>
          <w:u w:val="single"/>
        </w:rPr>
      </w:pPr>
    </w:p>
    <w:p>
      <w:pPr>
        <w:pStyle w:val="2"/>
        <w:rPr>
          <w:rFonts w:hint="eastAsia" w:ascii="宋体" w:hAnsi="宋体" w:eastAsia="宋体" w:cs="宋体"/>
          <w:szCs w:val="21"/>
          <w:u w:val="single"/>
        </w:rPr>
      </w:pPr>
    </w:p>
    <w:p>
      <w:pPr>
        <w:pStyle w:val="2"/>
        <w:rPr>
          <w:rFonts w:hint="eastAsia" w:ascii="宋体" w:hAnsi="宋体" w:eastAsia="宋体" w:cs="宋体"/>
          <w:szCs w:val="21"/>
          <w:u w:val="single"/>
        </w:rPr>
      </w:pPr>
    </w:p>
    <w:p>
      <w:pPr>
        <w:pStyle w:val="2"/>
        <w:rPr>
          <w:rFonts w:hint="eastAsia" w:ascii="宋体" w:hAnsi="宋体" w:eastAsia="宋体" w:cs="宋体"/>
          <w:szCs w:val="21"/>
          <w:u w:val="single"/>
        </w:rPr>
      </w:pPr>
    </w:p>
    <w:p>
      <w:pPr>
        <w:pStyle w:val="2"/>
        <w:rPr>
          <w:rFonts w:hint="eastAsia" w:ascii="宋体" w:hAnsi="宋体" w:eastAsia="宋体" w:cs="宋体"/>
          <w:szCs w:val="21"/>
          <w:u w:val="single"/>
        </w:rPr>
      </w:pPr>
    </w:p>
    <w:p>
      <w:pPr>
        <w:pStyle w:val="2"/>
        <w:rPr>
          <w:rFonts w:hint="eastAsia" w:ascii="宋体" w:hAnsi="宋体" w:eastAsia="宋体" w:cs="宋体"/>
          <w:szCs w:val="21"/>
          <w:u w:val="single"/>
        </w:rPr>
      </w:pPr>
    </w:p>
    <w:p>
      <w:pPr>
        <w:adjustRightInd w:val="0"/>
        <w:snapToGrid w:val="0"/>
        <w:spacing w:line="360" w:lineRule="auto"/>
        <w:ind w:firstLine="420" w:firstLineChars="200"/>
        <w:rPr>
          <w:rFonts w:hint="eastAsia" w:ascii="宋体" w:hAnsi="宋体" w:eastAsia="宋体" w:cs="宋体"/>
          <w:szCs w:val="21"/>
          <w:u w:val="single"/>
        </w:rPr>
      </w:pPr>
    </w:p>
    <w:p>
      <w:pPr>
        <w:adjustRightInd w:val="0"/>
        <w:snapToGrid w:val="0"/>
        <w:spacing w:line="360" w:lineRule="auto"/>
        <w:jc w:val="center"/>
        <w:rPr>
          <w:rFonts w:hint="eastAsia" w:ascii="宋体" w:hAnsi="宋体" w:eastAsia="宋体" w:cs="宋体"/>
          <w:b/>
          <w:bCs/>
          <w:sz w:val="56"/>
          <w:szCs w:val="56"/>
          <w:u w:val="single"/>
        </w:rPr>
      </w:pPr>
      <w:r>
        <w:rPr>
          <w:rFonts w:hint="eastAsia" w:ascii="宋体" w:hAnsi="宋体" w:eastAsia="宋体" w:cs="宋体"/>
          <w:b/>
          <w:bCs/>
          <w:sz w:val="56"/>
          <w:szCs w:val="56"/>
          <w:lang w:val="en-US" w:eastAsia="zh-CN"/>
        </w:rPr>
        <w:t>分项</w:t>
      </w:r>
      <w:r>
        <w:rPr>
          <w:rFonts w:hint="eastAsia" w:ascii="宋体" w:hAnsi="宋体" w:eastAsia="宋体" w:cs="宋体"/>
          <w:b/>
          <w:bCs/>
          <w:sz w:val="56"/>
          <w:szCs w:val="56"/>
        </w:rPr>
        <w:t>产品明细</w:t>
      </w:r>
    </w:p>
    <w:p>
      <w:pPr>
        <w:adjustRightInd w:val="0"/>
        <w:snapToGrid w:val="0"/>
        <w:spacing w:line="360" w:lineRule="auto"/>
        <w:ind w:firstLine="420" w:firstLineChars="200"/>
        <w:rPr>
          <w:rFonts w:hint="eastAsia" w:ascii="宋体" w:hAnsi="宋体" w:eastAsia="宋体" w:cs="宋体"/>
          <w:szCs w:val="21"/>
          <w:u w:val="single"/>
        </w:rPr>
      </w:pPr>
    </w:p>
    <w:tbl>
      <w:tblPr>
        <w:tblStyle w:val="9"/>
        <w:tblpPr w:leftFromText="180" w:rightFromText="180" w:vertAnchor="text" w:horzAnchor="page" w:tblpX="1474" w:tblpY="389"/>
        <w:tblOverlap w:val="never"/>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131"/>
        <w:gridCol w:w="750"/>
        <w:gridCol w:w="941"/>
        <w:gridCol w:w="842"/>
        <w:gridCol w:w="1517"/>
        <w:gridCol w:w="766"/>
        <w:gridCol w:w="962"/>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131"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产品名称</w:t>
            </w:r>
          </w:p>
        </w:tc>
        <w:tc>
          <w:tcPr>
            <w:tcW w:w="750"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品牌</w:t>
            </w:r>
          </w:p>
        </w:tc>
        <w:tc>
          <w:tcPr>
            <w:tcW w:w="941"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型号</w:t>
            </w:r>
          </w:p>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w:t>
            </w:r>
          </w:p>
        </w:tc>
        <w:tc>
          <w:tcPr>
            <w:tcW w:w="842"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1517"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制造商名称</w:t>
            </w:r>
          </w:p>
        </w:tc>
        <w:tc>
          <w:tcPr>
            <w:tcW w:w="766"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单价</w:t>
            </w:r>
          </w:p>
        </w:tc>
        <w:tc>
          <w:tcPr>
            <w:tcW w:w="962"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总价</w:t>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w:t>
            </w:r>
          </w:p>
        </w:tc>
        <w:tc>
          <w:tcPr>
            <w:tcW w:w="1131"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一次性使用病毒采样管</w:t>
            </w:r>
          </w:p>
        </w:tc>
        <w:tc>
          <w:tcPr>
            <w:tcW w:w="750"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中久</w:t>
            </w:r>
          </w:p>
        </w:tc>
        <w:tc>
          <w:tcPr>
            <w:tcW w:w="941"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1：20</w:t>
            </w:r>
          </w:p>
        </w:tc>
        <w:tc>
          <w:tcPr>
            <w:tcW w:w="842" w:type="dxa"/>
            <w:noWrap w:val="0"/>
            <w:vAlign w:val="center"/>
          </w:tcPr>
          <w:p>
            <w:pPr>
              <w:keepNext w:val="0"/>
              <w:keepLines w:val="0"/>
              <w:widowControl/>
              <w:suppressLineNumbers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i w:val="0"/>
                <w:iCs w:val="0"/>
                <w:color w:val="000000"/>
                <w:kern w:val="0"/>
                <w:sz w:val="22"/>
                <w:szCs w:val="22"/>
                <w:u w:val="none"/>
                <w:lang w:val="en-US" w:eastAsia="zh-CN" w:bidi="ar"/>
              </w:rPr>
              <w:t>3500</w:t>
            </w:r>
          </w:p>
        </w:tc>
        <w:tc>
          <w:tcPr>
            <w:tcW w:w="1517"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山东中久医疗器械有限公司</w:t>
            </w:r>
          </w:p>
        </w:tc>
        <w:tc>
          <w:tcPr>
            <w:tcW w:w="766"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3.2</w:t>
            </w:r>
          </w:p>
        </w:tc>
        <w:tc>
          <w:tcPr>
            <w:tcW w:w="962"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11200</w:t>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557"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w:t>
            </w:r>
          </w:p>
        </w:tc>
        <w:tc>
          <w:tcPr>
            <w:tcW w:w="1131"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一次性使用病毒采样管</w:t>
            </w:r>
          </w:p>
        </w:tc>
        <w:tc>
          <w:tcPr>
            <w:tcW w:w="750"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天力</w:t>
            </w:r>
          </w:p>
        </w:tc>
        <w:tc>
          <w:tcPr>
            <w:tcW w:w="941"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1：20</w:t>
            </w:r>
          </w:p>
        </w:tc>
        <w:tc>
          <w:tcPr>
            <w:tcW w:w="842" w:type="dxa"/>
            <w:noWrap w:val="0"/>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16500</w:t>
            </w:r>
          </w:p>
        </w:tc>
        <w:tc>
          <w:tcPr>
            <w:tcW w:w="1517"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江苏天力医疗器械有限公司</w:t>
            </w:r>
          </w:p>
        </w:tc>
        <w:tc>
          <w:tcPr>
            <w:tcW w:w="766"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3.2</w:t>
            </w:r>
          </w:p>
        </w:tc>
        <w:tc>
          <w:tcPr>
            <w:tcW w:w="962"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52800</w:t>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1688" w:type="dxa"/>
            <w:gridSpan w:val="2"/>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总价</w:t>
            </w:r>
          </w:p>
        </w:tc>
        <w:tc>
          <w:tcPr>
            <w:tcW w:w="750"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p>
        </w:tc>
        <w:tc>
          <w:tcPr>
            <w:tcW w:w="941"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p>
        </w:tc>
        <w:tc>
          <w:tcPr>
            <w:tcW w:w="842"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p>
        </w:tc>
        <w:tc>
          <w:tcPr>
            <w:tcW w:w="1517"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p>
        </w:tc>
        <w:tc>
          <w:tcPr>
            <w:tcW w:w="766"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p>
        </w:tc>
        <w:tc>
          <w:tcPr>
            <w:tcW w:w="962" w:type="dxa"/>
            <w:noWrap w:val="0"/>
            <w:vAlign w:val="center"/>
          </w:tcPr>
          <w:p>
            <w:pPr>
              <w:adjustRightInd w:val="0"/>
              <w:snapToGrid w:val="0"/>
              <w:ind w:left="-96" w:leftChars="-46" w:right="-63" w:rightChars="-30"/>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fldChar w:fldCharType="begin"/>
            </w:r>
            <w:r>
              <w:rPr>
                <w:rFonts w:hint="eastAsia" w:ascii="宋体" w:hAnsi="宋体" w:eastAsia="宋体" w:cs="宋体"/>
                <w:color w:val="auto"/>
                <w:szCs w:val="21"/>
                <w:highlight w:val="none"/>
                <w:lang w:val="en-US" w:eastAsia="zh-CN"/>
              </w:rPr>
              <w:instrText xml:space="preserve"> = sum(H2:H3) \* MERGEFORMAT </w:instrText>
            </w:r>
            <w:r>
              <w:rPr>
                <w:rFonts w:hint="eastAsia" w:ascii="宋体" w:hAnsi="宋体" w:eastAsia="宋体" w:cs="宋体"/>
                <w:color w:val="auto"/>
                <w:szCs w:val="21"/>
                <w:highlight w:val="none"/>
                <w:lang w:val="en-US" w:eastAsia="zh-CN"/>
              </w:rPr>
              <w:fldChar w:fldCharType="separate"/>
            </w:r>
            <w:r>
              <w:rPr>
                <w:rFonts w:hint="eastAsia" w:ascii="宋体" w:hAnsi="宋体" w:eastAsia="宋体" w:cs="宋体"/>
                <w:color w:val="auto"/>
                <w:szCs w:val="21"/>
                <w:highlight w:val="none"/>
                <w:lang w:val="en-US" w:eastAsia="zh-CN"/>
              </w:rPr>
              <w:t>64000</w:t>
            </w:r>
            <w:r>
              <w:rPr>
                <w:rFonts w:hint="eastAsia" w:ascii="宋体" w:hAnsi="宋体" w:eastAsia="宋体" w:cs="宋体"/>
                <w:color w:val="auto"/>
                <w:szCs w:val="21"/>
                <w:highlight w:val="none"/>
                <w:lang w:val="en-US" w:eastAsia="zh-CN"/>
              </w:rPr>
              <w:fldChar w:fldCharType="end"/>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fldChar w:fldCharType="begin"/>
            </w:r>
            <w:r>
              <w:rPr>
                <w:rFonts w:hint="eastAsia" w:ascii="宋体" w:hAnsi="宋体" w:eastAsia="宋体" w:cs="宋体"/>
                <w:color w:val="auto"/>
                <w:kern w:val="2"/>
                <w:sz w:val="21"/>
                <w:szCs w:val="21"/>
                <w:highlight w:val="none"/>
                <w:lang w:val="en-US" w:eastAsia="zh-CN" w:bidi="ar-SA"/>
              </w:rPr>
              <w:instrText xml:space="preserve"> = sum(I2:I4) \* MERGEFORMAT </w:instrText>
            </w:r>
            <w:r>
              <w:rPr>
                <w:rFonts w:hint="eastAsia" w:ascii="宋体" w:hAnsi="宋体" w:eastAsia="宋体" w:cs="宋体"/>
                <w:color w:val="auto"/>
                <w:kern w:val="2"/>
                <w:sz w:val="21"/>
                <w:szCs w:val="21"/>
                <w:highlight w:val="none"/>
                <w:lang w:val="en-US" w:eastAsia="zh-CN" w:bidi="ar-SA"/>
              </w:rPr>
              <w:fldChar w:fldCharType="separate"/>
            </w:r>
            <w:r>
              <w:rPr>
                <w:rFonts w:hint="eastAsia" w:ascii="宋体" w:hAnsi="宋体" w:eastAsia="宋体" w:cs="宋体"/>
                <w:color w:val="auto"/>
                <w:kern w:val="2"/>
                <w:sz w:val="21"/>
                <w:szCs w:val="21"/>
                <w:highlight w:val="none"/>
                <w:lang w:val="en-US" w:eastAsia="zh-CN" w:bidi="ar-SA"/>
              </w:rPr>
              <w:fldChar w:fldCharType="end"/>
            </w:r>
          </w:p>
        </w:tc>
      </w:tr>
    </w:tbl>
    <w:p>
      <w:pPr>
        <w:rPr>
          <w:rFonts w:hint="eastAsia" w:ascii="宋体" w:hAnsi="宋体" w:eastAsia="宋体" w:cs="宋体"/>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3FA6736"/>
    <w:rsid w:val="04A667D1"/>
    <w:rsid w:val="04C05D6E"/>
    <w:rsid w:val="050A1B39"/>
    <w:rsid w:val="058709BB"/>
    <w:rsid w:val="06962ED4"/>
    <w:rsid w:val="06DB305C"/>
    <w:rsid w:val="06FA6949"/>
    <w:rsid w:val="0A6F4491"/>
    <w:rsid w:val="0F760EB9"/>
    <w:rsid w:val="0F8B500C"/>
    <w:rsid w:val="11224330"/>
    <w:rsid w:val="131D2EF4"/>
    <w:rsid w:val="13852CC2"/>
    <w:rsid w:val="150047FF"/>
    <w:rsid w:val="15941CDF"/>
    <w:rsid w:val="15BE4F2F"/>
    <w:rsid w:val="16553B5F"/>
    <w:rsid w:val="1A1E155E"/>
    <w:rsid w:val="1A3C6975"/>
    <w:rsid w:val="1B727189"/>
    <w:rsid w:val="1B7374E8"/>
    <w:rsid w:val="1BA7045D"/>
    <w:rsid w:val="1C346B56"/>
    <w:rsid w:val="1CB4115D"/>
    <w:rsid w:val="1D90796E"/>
    <w:rsid w:val="1EF45B31"/>
    <w:rsid w:val="1F2A0E82"/>
    <w:rsid w:val="1F82787C"/>
    <w:rsid w:val="20AB7B9C"/>
    <w:rsid w:val="21B70C4B"/>
    <w:rsid w:val="21B77DE1"/>
    <w:rsid w:val="224673AD"/>
    <w:rsid w:val="257D5B7D"/>
    <w:rsid w:val="267B033E"/>
    <w:rsid w:val="27AF7ECC"/>
    <w:rsid w:val="27EC45BA"/>
    <w:rsid w:val="28A06791"/>
    <w:rsid w:val="2A41062F"/>
    <w:rsid w:val="2C425F6B"/>
    <w:rsid w:val="2DD0518E"/>
    <w:rsid w:val="2DE80212"/>
    <w:rsid w:val="2E1F22C2"/>
    <w:rsid w:val="316118C9"/>
    <w:rsid w:val="32F40966"/>
    <w:rsid w:val="34416B52"/>
    <w:rsid w:val="344B390F"/>
    <w:rsid w:val="34EF41BD"/>
    <w:rsid w:val="388B0A4F"/>
    <w:rsid w:val="39A26DC7"/>
    <w:rsid w:val="39F313FD"/>
    <w:rsid w:val="3A4072B5"/>
    <w:rsid w:val="3C2A73D1"/>
    <w:rsid w:val="3C7A562D"/>
    <w:rsid w:val="3C83190D"/>
    <w:rsid w:val="3CD750E6"/>
    <w:rsid w:val="3F947C72"/>
    <w:rsid w:val="40A87715"/>
    <w:rsid w:val="41585655"/>
    <w:rsid w:val="42331CC0"/>
    <w:rsid w:val="42D42C26"/>
    <w:rsid w:val="435541C8"/>
    <w:rsid w:val="44461776"/>
    <w:rsid w:val="44A122DD"/>
    <w:rsid w:val="45F52AE7"/>
    <w:rsid w:val="46E21856"/>
    <w:rsid w:val="477C07C1"/>
    <w:rsid w:val="488D0539"/>
    <w:rsid w:val="4AE069C8"/>
    <w:rsid w:val="4BAF2C6A"/>
    <w:rsid w:val="4CC534AD"/>
    <w:rsid w:val="4DE27BCF"/>
    <w:rsid w:val="4E07250D"/>
    <w:rsid w:val="4E8E7F21"/>
    <w:rsid w:val="4F36126D"/>
    <w:rsid w:val="4FC9047D"/>
    <w:rsid w:val="50EA35DF"/>
    <w:rsid w:val="518E0BE4"/>
    <w:rsid w:val="540F010F"/>
    <w:rsid w:val="54482C89"/>
    <w:rsid w:val="561A162C"/>
    <w:rsid w:val="567445FB"/>
    <w:rsid w:val="56836B41"/>
    <w:rsid w:val="588028B4"/>
    <w:rsid w:val="590D4488"/>
    <w:rsid w:val="59583E8A"/>
    <w:rsid w:val="5A7B4CD9"/>
    <w:rsid w:val="5CC40ECB"/>
    <w:rsid w:val="5DCD15E8"/>
    <w:rsid w:val="5E810D50"/>
    <w:rsid w:val="5F167D32"/>
    <w:rsid w:val="5F5664FE"/>
    <w:rsid w:val="604B1226"/>
    <w:rsid w:val="62552F14"/>
    <w:rsid w:val="67852B9B"/>
    <w:rsid w:val="67D12641"/>
    <w:rsid w:val="67FD0BD9"/>
    <w:rsid w:val="67FE7C6D"/>
    <w:rsid w:val="686B0825"/>
    <w:rsid w:val="688D2C3B"/>
    <w:rsid w:val="693375EE"/>
    <w:rsid w:val="695D3CD4"/>
    <w:rsid w:val="6A397B67"/>
    <w:rsid w:val="6AEB0B1F"/>
    <w:rsid w:val="6B0C63F2"/>
    <w:rsid w:val="6C1C7FD0"/>
    <w:rsid w:val="6D2E78EB"/>
    <w:rsid w:val="6D947D96"/>
    <w:rsid w:val="6F137BB5"/>
    <w:rsid w:val="6F474B07"/>
    <w:rsid w:val="6FB65C69"/>
    <w:rsid w:val="6FE332E4"/>
    <w:rsid w:val="6FFF7D63"/>
    <w:rsid w:val="70AD5DFC"/>
    <w:rsid w:val="70EB10A6"/>
    <w:rsid w:val="7129356D"/>
    <w:rsid w:val="72FF50E9"/>
    <w:rsid w:val="73887FDB"/>
    <w:rsid w:val="770555B0"/>
    <w:rsid w:val="795363F1"/>
    <w:rsid w:val="7A5A276E"/>
    <w:rsid w:val="7ED8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1"/>
    <w:qFormat/>
    <w:uiPriority w:val="0"/>
    <w:pPr>
      <w:keepNext/>
      <w:keepLines/>
      <w:spacing w:before="220" w:after="210" w:line="360" w:lineRule="auto"/>
      <w:outlineLvl w:val="0"/>
    </w:pPr>
    <w:rPr>
      <w:b/>
      <w:kern w:val="44"/>
      <w:sz w:val="44"/>
    </w:rPr>
  </w:style>
  <w:style w:type="paragraph" w:styleId="5">
    <w:name w:val="heading 2"/>
    <w:basedOn w:val="6"/>
    <w:next w:val="1"/>
    <w:link w:val="12"/>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3"/>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character" w:customStyle="1" w:styleId="11">
    <w:name w:val="标题 1 Char"/>
    <w:link w:val="4"/>
    <w:qFormat/>
    <w:uiPriority w:val="0"/>
    <w:rPr>
      <w:rFonts w:ascii="Times New Roman" w:hAnsi="Times New Roman" w:eastAsia="宋体" w:cs="Times New Roman"/>
      <w:b/>
      <w:bCs/>
      <w:kern w:val="44"/>
      <w:sz w:val="52"/>
      <w:szCs w:val="52"/>
    </w:rPr>
  </w:style>
  <w:style w:type="character" w:customStyle="1" w:styleId="12">
    <w:name w:val="标题 2 Char"/>
    <w:link w:val="5"/>
    <w:qFormat/>
    <w:uiPriority w:val="0"/>
    <w:rPr>
      <w:rFonts w:ascii="Arial" w:hAnsi="Arial" w:eastAsia="宋体" w:cs="Courier New"/>
      <w:b/>
      <w:bCs/>
      <w:sz w:val="32"/>
      <w:szCs w:val="21"/>
    </w:rPr>
  </w:style>
  <w:style w:type="character" w:customStyle="1" w:styleId="13">
    <w:name w:val="标题 3 Char"/>
    <w:link w:val="7"/>
    <w:qFormat/>
    <w:uiPriority w:val="0"/>
    <w:rPr>
      <w:rFonts w:eastAsia="宋体"/>
      <w:b/>
      <w:sz w:val="28"/>
    </w:rPr>
  </w:style>
  <w:style w:type="character" w:customStyle="1" w:styleId="14">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1119</Characters>
  <Lines>0</Lines>
  <Paragraphs>0</Paragraphs>
  <TotalTime>2</TotalTime>
  <ScaleCrop>false</ScaleCrop>
  <LinksUpToDate>false</LinksUpToDate>
  <CharactersWithSpaces>1418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2022-03-18T07:56:00Z</cp:lastPrinted>
  <dcterms:modified xsi:type="dcterms:W3CDTF">2022-10-09T09:18:11Z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CC439A49E96846899EC5A7F3DFAA14E2</vt:lpwstr>
  </property>
</Properties>
</file>